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eastAsia="Times New Roman" w:hAnsi="Cambria"/>
          <w:b/>
          <w:bCs/>
          <w:color w:val="365F91"/>
          <w:sz w:val="28"/>
          <w:szCs w:val="28"/>
          <w:lang w:val="fr-FR"/>
        </w:rPr>
        <w:id w:val="-426037364"/>
        <w:docPartObj>
          <w:docPartGallery w:val="Cover Pages"/>
          <w:docPartUnique/>
        </w:docPartObj>
      </w:sdtPr>
      <w:sdtEndPr>
        <w:rPr>
          <w:color w:val="FFFFFF" w:themeColor="background1"/>
          <w:lang w:eastAsia="fr-FR"/>
        </w:rPr>
      </w:sdtEndPr>
      <w:sdtContent>
        <w:p w:rsidR="004163AC" w:rsidRDefault="002849D5">
          <w:pPr>
            <w:rPr>
              <w:lang w:val="fr-FR"/>
            </w:rPr>
          </w:pPr>
          <w:r w:rsidRPr="002849D5">
            <w:rPr>
              <w:rFonts w:cs="Calibri"/>
              <w:noProof/>
              <w:sz w:val="26"/>
              <w:szCs w:val="26"/>
              <w:lang w:val="fr-FR" w:eastAsia="fr-FR"/>
            </w:rPr>
            <w:pict>
              <v:shapetype id="_x0000_t202" coordsize="21600,21600" o:spt="202" path="m,l,21600r21600,l21600,xe">
                <v:stroke joinstyle="miter"/>
                <v:path gradientshapeok="t" o:connecttype="rect"/>
              </v:shapetype>
              <v:shape id="Zone de texte 6" o:spid="_x0000_s1026" type="#_x0000_t202" style="position:absolute;margin-left:397.95pt;margin-top:-30.15pt;width:166.7pt;height:30.4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w:txbxContent>
                    <w:p w:rsidR="00B0014A" w:rsidRDefault="00B0014A" w:rsidP="004163AC">
                      <w:pPr>
                        <w:jc w:val="center"/>
                      </w:pPr>
                      <w:r w:rsidRPr="00324B74">
                        <w:rPr>
                          <w:rFonts w:cs="Calibri"/>
                          <w:b/>
                          <w:sz w:val="32"/>
                          <w:szCs w:val="32"/>
                          <w:lang w:val="fr-FR"/>
                        </w:rPr>
                        <w:t>Se</w:t>
                      </w:r>
                      <w:r w:rsidRPr="00324B74">
                        <w:rPr>
                          <w:rFonts w:cs="Calibri"/>
                          <w:b/>
                          <w:spacing w:val="1"/>
                          <w:sz w:val="32"/>
                          <w:szCs w:val="32"/>
                          <w:lang w:val="fr-FR"/>
                        </w:rPr>
                        <w:t>c</w:t>
                      </w:r>
                      <w:r w:rsidRPr="00324B74">
                        <w:rPr>
                          <w:rFonts w:cs="Calibri"/>
                          <w:b/>
                          <w:sz w:val="32"/>
                          <w:szCs w:val="32"/>
                          <w:lang w:val="fr-FR"/>
                        </w:rPr>
                        <w:t>rétariat</w:t>
                      </w:r>
                      <w:r w:rsidRPr="00324B74">
                        <w:rPr>
                          <w:rFonts w:cs="Calibri"/>
                          <w:b/>
                          <w:w w:val="99"/>
                          <w:sz w:val="32"/>
                          <w:szCs w:val="32"/>
                          <w:lang w:val="fr-FR"/>
                        </w:rPr>
                        <w:t>Tec</w:t>
                      </w:r>
                      <w:r w:rsidRPr="00324B74">
                        <w:rPr>
                          <w:rFonts w:cs="Calibri"/>
                          <w:b/>
                          <w:spacing w:val="1"/>
                          <w:w w:val="99"/>
                          <w:sz w:val="32"/>
                          <w:szCs w:val="32"/>
                          <w:lang w:val="fr-FR"/>
                        </w:rPr>
                        <w:t>h</w:t>
                      </w:r>
                      <w:r w:rsidRPr="00324B74">
                        <w:rPr>
                          <w:rFonts w:cs="Calibri"/>
                          <w:b/>
                          <w:spacing w:val="-1"/>
                          <w:w w:val="99"/>
                          <w:sz w:val="32"/>
                          <w:szCs w:val="32"/>
                          <w:lang w:val="fr-FR"/>
                        </w:rPr>
                        <w:t>n</w:t>
                      </w:r>
                      <w:r w:rsidRPr="00324B74">
                        <w:rPr>
                          <w:rFonts w:cs="Calibri"/>
                          <w:b/>
                          <w:spacing w:val="3"/>
                          <w:w w:val="99"/>
                          <w:sz w:val="32"/>
                          <w:szCs w:val="32"/>
                          <w:lang w:val="fr-FR"/>
                        </w:rPr>
                        <w:t>i</w:t>
                      </w:r>
                      <w:r w:rsidRPr="00324B74">
                        <w:rPr>
                          <w:rFonts w:cs="Calibri"/>
                          <w:b/>
                          <w:spacing w:val="-1"/>
                          <w:w w:val="99"/>
                          <w:sz w:val="32"/>
                          <w:szCs w:val="32"/>
                          <w:lang w:val="fr-FR"/>
                        </w:rPr>
                        <w:t>qu</w:t>
                      </w:r>
                      <w:r w:rsidRPr="00324B74">
                        <w:rPr>
                          <w:rFonts w:cs="Calibri"/>
                          <w:b/>
                          <w:w w:val="99"/>
                          <w:sz w:val="32"/>
                          <w:szCs w:val="32"/>
                          <w:lang w:val="fr-FR"/>
                        </w:rPr>
                        <w:t>e</w:t>
                      </w:r>
                    </w:p>
                  </w:txbxContent>
                </v:textbox>
              </v:shape>
            </w:pict>
          </w:r>
          <w:r w:rsidR="004163AC" w:rsidRPr="00383035">
            <w:rPr>
              <w:rFonts w:cs="Calibri"/>
              <w:noProof/>
              <w:sz w:val="26"/>
              <w:szCs w:val="26"/>
              <w:lang w:val="fr-FR" w:eastAsia="fr-FR"/>
            </w:rPr>
            <w:drawing>
              <wp:anchor distT="0" distB="0" distL="114300" distR="114300" simplePos="0" relativeHeight="251662336" behindDoc="0" locked="0" layoutInCell="1" allowOverlap="1">
                <wp:simplePos x="0" y="0"/>
                <wp:positionH relativeFrom="margin">
                  <wp:posOffset>723809</wp:posOffset>
                </wp:positionH>
                <wp:positionV relativeFrom="paragraph">
                  <wp:posOffset>-471056</wp:posOffset>
                </wp:positionV>
                <wp:extent cx="1986642" cy="625475"/>
                <wp:effectExtent l="0" t="0" r="0" b="3175"/>
                <wp:wrapNone/>
                <wp:docPr id="5" name="Image 5" descr="C:\Users\ITIE-RDC\Pictures\Logo ITIE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RDC\Pictures\Logo ITIE 2017.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6642" cy="625475"/>
                        </a:xfrm>
                        <a:prstGeom prst="rect">
                          <a:avLst/>
                        </a:prstGeom>
                        <a:noFill/>
                        <a:ln>
                          <a:noFill/>
                        </a:ln>
                      </pic:spPr>
                    </pic:pic>
                  </a:graphicData>
                </a:graphic>
              </wp:anchor>
            </w:drawing>
          </w:r>
        </w:p>
        <w:p w:rsidR="004163AC" w:rsidRDefault="004163AC">
          <w:pPr>
            <w:rPr>
              <w:lang w:val="fr-FR"/>
            </w:rPr>
          </w:pPr>
        </w:p>
        <w:p w:rsidR="004163AC" w:rsidRDefault="004163AC">
          <w:pPr>
            <w:rPr>
              <w:lang w:val="fr-FR"/>
            </w:rPr>
          </w:pPr>
        </w:p>
        <w:p w:rsidR="004163AC" w:rsidRDefault="004163A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8E20AF" w:rsidP="008E20AF">
          <w:pPr>
            <w:tabs>
              <w:tab w:val="left" w:pos="4675"/>
            </w:tabs>
            <w:rPr>
              <w:lang w:val="fr-FR"/>
            </w:rPr>
          </w:pPr>
          <w:r>
            <w:rPr>
              <w:lang w:val="fr-FR"/>
            </w:rPr>
            <w:tab/>
          </w:r>
        </w:p>
        <w:p w:rsidR="00743C00" w:rsidRPr="004163AC" w:rsidRDefault="004163AC" w:rsidP="00E50BD0">
          <w:pPr>
            <w:pStyle w:val="Titre"/>
            <w:shd w:val="clear" w:color="auto" w:fill="000000" w:themeFill="text1"/>
            <w:spacing w:after="0"/>
            <w:ind w:left="-709" w:firstLine="709"/>
            <w:jc w:val="center"/>
            <w:rPr>
              <w:rFonts w:ascii="Calibri" w:hAnsi="Calibri"/>
              <w:b/>
              <w:color w:val="FFFFFF" w:themeColor="background1"/>
              <w:sz w:val="36"/>
            </w:rPr>
          </w:pPr>
          <w:r w:rsidRPr="004163AC">
            <w:rPr>
              <w:rFonts w:ascii="Calibri" w:hAnsi="Calibri"/>
              <w:b/>
              <w:color w:val="FFFFFF" w:themeColor="background1"/>
              <w:sz w:val="36"/>
            </w:rPr>
            <w:t>DOCUMENT</w:t>
          </w:r>
          <w:r>
            <w:rPr>
              <w:rFonts w:ascii="Calibri" w:hAnsi="Calibri"/>
              <w:b/>
              <w:color w:val="FFFFFF" w:themeColor="background1"/>
              <w:sz w:val="36"/>
            </w:rPr>
            <w:t>S</w:t>
          </w:r>
          <w:r w:rsidRPr="004163AC">
            <w:rPr>
              <w:rFonts w:ascii="Calibri" w:hAnsi="Calibri"/>
              <w:b/>
              <w:color w:val="FFFFFF" w:themeColor="background1"/>
              <w:sz w:val="36"/>
            </w:rPr>
            <w:t xml:space="preserve"> DE LA 68</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ED0D4C" w:rsidRDefault="004163AC" w:rsidP="00E50BD0">
          <w:pPr>
            <w:shd w:val="clear" w:color="auto" w:fill="00B0F0"/>
            <w:spacing w:after="0"/>
            <w:ind w:left="-709" w:firstLine="709"/>
            <w:jc w:val="center"/>
            <w:rPr>
              <w:b/>
              <w:sz w:val="36"/>
              <w:szCs w:val="36"/>
              <w:lang w:val="fr-FR"/>
            </w:rPr>
          </w:pPr>
          <w:r>
            <w:rPr>
              <w:b/>
              <w:sz w:val="36"/>
              <w:szCs w:val="36"/>
              <w:lang w:val="fr-FR"/>
            </w:rPr>
            <w:t>d</w:t>
          </w:r>
          <w:r w:rsidRPr="004163AC">
            <w:rPr>
              <w:b/>
              <w:sz w:val="36"/>
              <w:szCs w:val="36"/>
              <w:lang w:val="fr-FR"/>
            </w:rPr>
            <w:t>u 23 mars 2016</w:t>
          </w:r>
        </w:p>
        <w:p w:rsidR="00ED0D4C" w:rsidRPr="00ED0D4C" w:rsidRDefault="00ED0D4C" w:rsidP="008E20AF">
          <w:pPr>
            <w:shd w:val="clear" w:color="auto" w:fill="00B0F0"/>
            <w:tabs>
              <w:tab w:val="left" w:pos="0"/>
              <w:tab w:val="left" w:pos="11906"/>
            </w:tabs>
            <w:spacing w:after="0"/>
            <w:jc w:val="center"/>
            <w:rPr>
              <w:b/>
              <w:color w:val="FFFFFF" w:themeColor="background1"/>
              <w:sz w:val="32"/>
              <w:szCs w:val="36"/>
              <w:lang w:val="fr-FR"/>
            </w:rPr>
          </w:pPr>
          <w:r w:rsidRPr="00ED0D4C">
            <w:rPr>
              <w:b/>
              <w:color w:val="FFFFFF" w:themeColor="background1"/>
              <w:sz w:val="32"/>
              <w:szCs w:val="36"/>
              <w:lang w:val="fr-FR"/>
            </w:rPr>
            <w:t>Soumis par le Secrétariat Technique</w:t>
          </w:r>
        </w:p>
        <w:p w:rsidR="00743C00" w:rsidRDefault="00743C00">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pPr>
            <w:rPr>
              <w:lang w:val="fr-FR"/>
            </w:rPr>
          </w:pPr>
        </w:p>
        <w:p w:rsidR="00ED0D4C" w:rsidRDefault="00ED0D4C" w:rsidP="00ED0D4C">
          <w:pPr>
            <w:jc w:val="center"/>
            <w:rPr>
              <w:lang w:val="fr-FR"/>
            </w:rPr>
          </w:pPr>
        </w:p>
        <w:p w:rsidR="00ED0D4C" w:rsidRDefault="00ED0D4C" w:rsidP="00ED0D4C">
          <w:pPr>
            <w:jc w:val="center"/>
            <w:rPr>
              <w:lang w:val="fr-FR"/>
            </w:rPr>
          </w:pPr>
        </w:p>
        <w:p w:rsidR="00ED0D4C" w:rsidRDefault="00ED0D4C" w:rsidP="00ED0D4C">
          <w:pPr>
            <w:jc w:val="center"/>
            <w:rPr>
              <w:lang w:val="fr-FR"/>
            </w:rPr>
          </w:pPr>
        </w:p>
        <w:p w:rsidR="00ED0D4C" w:rsidRDefault="00ED0D4C" w:rsidP="00ED0D4C">
          <w:pPr>
            <w:jc w:val="center"/>
            <w:rPr>
              <w:lang w:val="fr-FR"/>
            </w:rPr>
          </w:pPr>
        </w:p>
        <w:p w:rsidR="00ED0D4C" w:rsidRPr="00ED0D4C" w:rsidRDefault="00B0014A" w:rsidP="00ED0D4C">
          <w:pPr>
            <w:jc w:val="center"/>
            <w:rPr>
              <w:b/>
              <w:sz w:val="32"/>
              <w:lang w:val="fr-FR"/>
            </w:rPr>
          </w:pPr>
          <w:r>
            <w:rPr>
              <w:b/>
              <w:sz w:val="32"/>
              <w:lang w:val="fr-FR"/>
            </w:rPr>
            <w:t xml:space="preserve">Decembre </w:t>
          </w:r>
          <w:r w:rsidR="00ED0D4C" w:rsidRPr="00ED0D4C">
            <w:rPr>
              <w:b/>
              <w:sz w:val="32"/>
              <w:lang w:val="fr-FR"/>
            </w:rPr>
            <w:t xml:space="preserve"> 2017</w:t>
          </w:r>
        </w:p>
        <w:p w:rsidR="001F1FAC" w:rsidRDefault="00743C00">
          <w:pPr>
            <w:rPr>
              <w:rFonts w:cs="Calibri"/>
              <w:noProof/>
              <w:sz w:val="26"/>
              <w:szCs w:val="26"/>
              <w:lang w:val="fr-FR" w:eastAsia="fr-FR"/>
            </w:rPr>
          </w:pPr>
          <w:r>
            <w:rPr>
              <w:b/>
              <w:color w:val="0070C0"/>
              <w:sz w:val="28"/>
              <w:lang w:val="fr-FR"/>
            </w:rPr>
            <w:lastRenderedPageBreak/>
            <w:br w:type="page"/>
          </w:r>
        </w:p>
        <w:p w:rsidR="00AA456E" w:rsidRPr="00AA456E" w:rsidRDefault="00AA456E" w:rsidP="00A414A2">
          <w:pPr>
            <w:shd w:val="clear" w:color="auto" w:fill="000000" w:themeFill="text1"/>
            <w:ind w:firstLine="1843"/>
            <w:rPr>
              <w:rFonts w:cs="Calibri"/>
              <w:b/>
              <w:noProof/>
              <w:sz w:val="32"/>
              <w:szCs w:val="26"/>
              <w:lang w:val="fr-FR" w:eastAsia="fr-FR"/>
            </w:rPr>
          </w:pPr>
          <w:r w:rsidRPr="00AA456E">
            <w:rPr>
              <w:rFonts w:cs="Calibri"/>
              <w:b/>
              <w:noProof/>
              <w:sz w:val="32"/>
              <w:szCs w:val="26"/>
              <w:lang w:val="fr-FR" w:eastAsia="fr-FR"/>
            </w:rPr>
            <w:lastRenderedPageBreak/>
            <w:t>Sommaire</w:t>
          </w:r>
          <w:r>
            <w:rPr>
              <w:rFonts w:cs="Calibri"/>
              <w:b/>
              <w:noProof/>
              <w:sz w:val="32"/>
              <w:szCs w:val="26"/>
              <w:lang w:val="fr-FR" w:eastAsia="fr-FR"/>
            </w:rPr>
            <w:t> :</w:t>
          </w:r>
        </w:p>
        <w:sdt>
          <w:sdtPr>
            <w:id w:val="665136959"/>
            <w:docPartObj>
              <w:docPartGallery w:val="Table of Contents"/>
              <w:docPartUnique/>
            </w:docPartObj>
          </w:sdtPr>
          <w:sdtEndPr>
            <w:rPr>
              <w:b/>
              <w:bCs/>
            </w:rPr>
          </w:sdtEndPr>
          <w:sdtContent>
            <w:p w:rsidR="00DB4D92" w:rsidRDefault="002849D5">
              <w:pPr>
                <w:pStyle w:val="TM1"/>
                <w:rPr>
                  <w:rFonts w:asciiTheme="minorHAnsi" w:eastAsiaTheme="minorEastAsia" w:hAnsiTheme="minorHAnsi" w:cstheme="minorBidi"/>
                  <w:noProof/>
                  <w:lang w:val="fr-FR" w:eastAsia="fr-FR"/>
                </w:rPr>
              </w:pPr>
              <w:r w:rsidRPr="002849D5">
                <w:fldChar w:fldCharType="begin"/>
              </w:r>
              <w:r w:rsidR="001F1FAC">
                <w:instrText xml:space="preserve"> TOC \o "1-3" \h \z \u </w:instrText>
              </w:r>
              <w:r w:rsidRPr="002849D5">
                <w:fldChar w:fldCharType="separate"/>
              </w:r>
              <w:hyperlink w:anchor="_Toc488866101" w:history="1">
                <w:r w:rsidR="00DB4D92" w:rsidRPr="00B170AB">
                  <w:rPr>
                    <w:rStyle w:val="Lienhypertexte"/>
                    <w:noProof/>
                    <w:lang w:eastAsia="fr-FR"/>
                  </w:rPr>
                  <w:t>Relevé des décisions de la 68ème  réunion du CE</w:t>
                </w:r>
                <w:r w:rsidR="00DB4D92">
                  <w:rPr>
                    <w:noProof/>
                    <w:webHidden/>
                  </w:rPr>
                  <w:tab/>
                </w:r>
                <w:r>
                  <w:rPr>
                    <w:noProof/>
                    <w:webHidden/>
                  </w:rPr>
                  <w:fldChar w:fldCharType="begin"/>
                </w:r>
                <w:r w:rsidR="00DB4D92">
                  <w:rPr>
                    <w:noProof/>
                    <w:webHidden/>
                  </w:rPr>
                  <w:instrText xml:space="preserve"> PAGEREF _Toc488866101 \h </w:instrText>
                </w:r>
                <w:r>
                  <w:rPr>
                    <w:noProof/>
                    <w:webHidden/>
                  </w:rPr>
                </w:r>
                <w:r>
                  <w:rPr>
                    <w:noProof/>
                    <w:webHidden/>
                  </w:rPr>
                  <w:fldChar w:fldCharType="separate"/>
                </w:r>
                <w:r w:rsidR="00DB4D92">
                  <w:rPr>
                    <w:noProof/>
                    <w:webHidden/>
                  </w:rPr>
                  <w:t>2</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2" w:history="1">
                <w:r w:rsidR="00DB4D92" w:rsidRPr="00B170AB">
                  <w:rPr>
                    <w:rStyle w:val="Lienhypertexte"/>
                    <w:noProof/>
                  </w:rPr>
                  <w:t>PROJET DE L’ORDRE DU JOUR</w:t>
                </w:r>
                <w:r w:rsidR="00DB4D92">
                  <w:rPr>
                    <w:noProof/>
                    <w:webHidden/>
                  </w:rPr>
                  <w:tab/>
                </w:r>
                <w:r>
                  <w:rPr>
                    <w:noProof/>
                    <w:webHidden/>
                  </w:rPr>
                  <w:fldChar w:fldCharType="begin"/>
                </w:r>
                <w:r w:rsidR="00DB4D92">
                  <w:rPr>
                    <w:noProof/>
                    <w:webHidden/>
                  </w:rPr>
                  <w:instrText xml:space="preserve"> PAGEREF _Toc488866102 \h </w:instrText>
                </w:r>
                <w:r>
                  <w:rPr>
                    <w:noProof/>
                    <w:webHidden/>
                  </w:rPr>
                </w:r>
                <w:r>
                  <w:rPr>
                    <w:noProof/>
                    <w:webHidden/>
                  </w:rPr>
                  <w:fldChar w:fldCharType="separate"/>
                </w:r>
                <w:r w:rsidR="00DB4D92">
                  <w:rPr>
                    <w:noProof/>
                    <w:webHidden/>
                  </w:rPr>
                  <w:t>3</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3" w:history="1">
                <w:r w:rsidR="00DB4D92" w:rsidRPr="00B170AB">
                  <w:rPr>
                    <w:rStyle w:val="Lienhypertexte"/>
                    <w:noProof/>
                    <w:lang w:eastAsia="fr-FR"/>
                  </w:rPr>
                  <w:t>Projet du PV  de la 67</w:t>
                </w:r>
                <w:r w:rsidR="00DB4D92" w:rsidRPr="00B170AB">
                  <w:rPr>
                    <w:rStyle w:val="Lienhypertexte"/>
                    <w:noProof/>
                    <w:vertAlign w:val="superscript"/>
                    <w:lang w:eastAsia="fr-FR"/>
                  </w:rPr>
                  <w:t>e</w:t>
                </w:r>
                <w:r w:rsidR="00DB4D92" w:rsidRPr="00B170AB">
                  <w:rPr>
                    <w:rStyle w:val="Lienhypertexte"/>
                    <w:noProof/>
                    <w:lang w:eastAsia="fr-FR"/>
                  </w:rPr>
                  <w:t xml:space="preserve"> réunion du CE du 23 Décembre 2015</w:t>
                </w:r>
                <w:r w:rsidR="00DB4D92">
                  <w:rPr>
                    <w:noProof/>
                    <w:webHidden/>
                  </w:rPr>
                  <w:tab/>
                </w:r>
                <w:r>
                  <w:rPr>
                    <w:noProof/>
                    <w:webHidden/>
                  </w:rPr>
                  <w:fldChar w:fldCharType="begin"/>
                </w:r>
                <w:r w:rsidR="00DB4D92">
                  <w:rPr>
                    <w:noProof/>
                    <w:webHidden/>
                  </w:rPr>
                  <w:instrText xml:space="preserve"> PAGEREF _Toc488866103 \h </w:instrText>
                </w:r>
                <w:r>
                  <w:rPr>
                    <w:noProof/>
                    <w:webHidden/>
                  </w:rPr>
                </w:r>
                <w:r>
                  <w:rPr>
                    <w:noProof/>
                    <w:webHidden/>
                  </w:rPr>
                  <w:fldChar w:fldCharType="separate"/>
                </w:r>
                <w:r w:rsidR="00DB4D92">
                  <w:rPr>
                    <w:noProof/>
                    <w:webHidden/>
                  </w:rPr>
                  <w:t>4</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4" w:history="1">
                <w:r w:rsidR="00DB4D92" w:rsidRPr="00B170AB">
                  <w:rPr>
                    <w:rStyle w:val="Lienhypertexte"/>
                    <w:noProof/>
                    <w:lang w:eastAsia="fr-FR"/>
                  </w:rPr>
                  <w:t>PROCEDURES DE DESIGNATION, DE REMPLACEMENT ET LA DUREE DU MANDAT DES MEMBRESDU COMITE EXECUTIF DE L’ITIE-RDC</w:t>
                </w:r>
                <w:r w:rsidR="00DB4D92">
                  <w:rPr>
                    <w:noProof/>
                    <w:webHidden/>
                  </w:rPr>
                  <w:tab/>
                </w:r>
                <w:r>
                  <w:rPr>
                    <w:noProof/>
                    <w:webHidden/>
                  </w:rPr>
                  <w:fldChar w:fldCharType="begin"/>
                </w:r>
                <w:r w:rsidR="00DB4D92">
                  <w:rPr>
                    <w:noProof/>
                    <w:webHidden/>
                  </w:rPr>
                  <w:instrText xml:space="preserve"> PAGEREF _Toc488866104 \h </w:instrText>
                </w:r>
                <w:r>
                  <w:rPr>
                    <w:noProof/>
                    <w:webHidden/>
                  </w:rPr>
                </w:r>
                <w:r>
                  <w:rPr>
                    <w:noProof/>
                    <w:webHidden/>
                  </w:rPr>
                  <w:fldChar w:fldCharType="separate"/>
                </w:r>
                <w:r w:rsidR="00DB4D92">
                  <w:rPr>
                    <w:noProof/>
                    <w:webHidden/>
                  </w:rPr>
                  <w:t>8</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5" w:history="1">
                <w:r w:rsidR="00DB4D92" w:rsidRPr="00B170AB">
                  <w:rPr>
                    <w:rStyle w:val="Lienhypertexte"/>
                    <w:noProof/>
                  </w:rPr>
                  <w:t xml:space="preserve">EXPOSE DES MOTIFS POUR L’ELABORATION DU RAPPORT PILOTE </w:t>
                </w:r>
                <w:r w:rsidR="00DB4D92">
                  <w:rPr>
                    <w:rStyle w:val="Lienhypertexte"/>
                    <w:noProof/>
                  </w:rPr>
                  <w:t xml:space="preserve">ITIE-RDC 2014 </w:t>
                </w:r>
                <w:r w:rsidR="00DB4D92" w:rsidRPr="00B170AB">
                  <w:rPr>
                    <w:rStyle w:val="Lienhypertexte"/>
                    <w:noProof/>
                  </w:rPr>
                  <w:t>DU SECTEUR MINIER ARTISANAL ET DU SECTEUR FORESTIER</w:t>
                </w:r>
                <w:r w:rsidR="00DB4D92">
                  <w:rPr>
                    <w:noProof/>
                    <w:webHidden/>
                  </w:rPr>
                  <w:tab/>
                </w:r>
                <w:r>
                  <w:rPr>
                    <w:noProof/>
                    <w:webHidden/>
                  </w:rPr>
                  <w:fldChar w:fldCharType="begin"/>
                </w:r>
                <w:r w:rsidR="00DB4D92">
                  <w:rPr>
                    <w:noProof/>
                    <w:webHidden/>
                  </w:rPr>
                  <w:instrText xml:space="preserve"> PAGEREF _Toc488866105 \h </w:instrText>
                </w:r>
                <w:r>
                  <w:rPr>
                    <w:noProof/>
                    <w:webHidden/>
                  </w:rPr>
                </w:r>
                <w:r>
                  <w:rPr>
                    <w:noProof/>
                    <w:webHidden/>
                  </w:rPr>
                  <w:fldChar w:fldCharType="separate"/>
                </w:r>
                <w:r w:rsidR="00DB4D92">
                  <w:rPr>
                    <w:noProof/>
                    <w:webHidden/>
                  </w:rPr>
                  <w:t>10</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6" w:history="1">
                <w:r w:rsidR="00DB4D92" w:rsidRPr="00B170AB">
                  <w:rPr>
                    <w:rStyle w:val="Lienhypertexte"/>
                    <w:noProof/>
                  </w:rPr>
                  <w:t>TERMES DE REFERENCE DE LA MISE EN JOUR DU CADRAGE ITIE-RDC 2015</w:t>
                </w:r>
                <w:r w:rsidR="00DB4D92">
                  <w:rPr>
                    <w:noProof/>
                    <w:webHidden/>
                  </w:rPr>
                  <w:tab/>
                </w:r>
                <w:r>
                  <w:rPr>
                    <w:noProof/>
                    <w:webHidden/>
                  </w:rPr>
                  <w:fldChar w:fldCharType="begin"/>
                </w:r>
                <w:r w:rsidR="00DB4D92">
                  <w:rPr>
                    <w:noProof/>
                    <w:webHidden/>
                  </w:rPr>
                  <w:instrText xml:space="preserve"> PAGEREF _Toc488866106 \h </w:instrText>
                </w:r>
                <w:r>
                  <w:rPr>
                    <w:noProof/>
                    <w:webHidden/>
                  </w:rPr>
                </w:r>
                <w:r>
                  <w:rPr>
                    <w:noProof/>
                    <w:webHidden/>
                  </w:rPr>
                  <w:fldChar w:fldCharType="separate"/>
                </w:r>
                <w:r w:rsidR="00DB4D92">
                  <w:rPr>
                    <w:noProof/>
                    <w:webHidden/>
                  </w:rPr>
                  <w:t>18</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7" w:history="1">
                <w:r w:rsidR="00DB4D92" w:rsidRPr="00B170AB">
                  <w:rPr>
                    <w:rStyle w:val="Lienhypertexte"/>
                    <w:noProof/>
                    <w:lang w:eastAsia="fr-FR"/>
                  </w:rPr>
                  <w:t>RAPPORT DE LA MISSION DE MBUJI MAYI</w:t>
                </w:r>
                <w:r w:rsidR="00DB4D92">
                  <w:rPr>
                    <w:noProof/>
                    <w:webHidden/>
                  </w:rPr>
                  <w:tab/>
                </w:r>
                <w:r>
                  <w:rPr>
                    <w:noProof/>
                    <w:webHidden/>
                  </w:rPr>
                  <w:fldChar w:fldCharType="begin"/>
                </w:r>
                <w:r w:rsidR="00DB4D92">
                  <w:rPr>
                    <w:noProof/>
                    <w:webHidden/>
                  </w:rPr>
                  <w:instrText xml:space="preserve"> PAGEREF _Toc488866107 \h </w:instrText>
                </w:r>
                <w:r>
                  <w:rPr>
                    <w:noProof/>
                    <w:webHidden/>
                  </w:rPr>
                </w:r>
                <w:r>
                  <w:rPr>
                    <w:noProof/>
                    <w:webHidden/>
                  </w:rPr>
                  <w:fldChar w:fldCharType="separate"/>
                </w:r>
                <w:r w:rsidR="00DB4D92">
                  <w:rPr>
                    <w:noProof/>
                    <w:webHidden/>
                  </w:rPr>
                  <w:t>21</w:t>
                </w:r>
                <w:r>
                  <w:rPr>
                    <w:noProof/>
                    <w:webHidden/>
                  </w:rPr>
                  <w:fldChar w:fldCharType="end"/>
                </w:r>
              </w:hyperlink>
            </w:p>
            <w:p w:rsidR="00DB4D92" w:rsidRDefault="002849D5">
              <w:pPr>
                <w:pStyle w:val="TM1"/>
                <w:rPr>
                  <w:rFonts w:asciiTheme="minorHAnsi" w:eastAsiaTheme="minorEastAsia" w:hAnsiTheme="minorHAnsi" w:cstheme="minorBidi"/>
                  <w:noProof/>
                  <w:lang w:val="fr-FR" w:eastAsia="fr-FR"/>
                </w:rPr>
              </w:pPr>
              <w:hyperlink w:anchor="_Toc488866108" w:history="1">
                <w:r w:rsidR="00DB4D92" w:rsidRPr="00B170AB">
                  <w:rPr>
                    <w:rStyle w:val="Lienhypertexte"/>
                    <w:noProof/>
                  </w:rPr>
                  <w:t>PROCÈS-VERBAL SIGNE DE LA REUNION ORDINAIRE DU CE DU 23 MARS 2016</w:t>
                </w:r>
                <w:r w:rsidR="00DB4D92">
                  <w:rPr>
                    <w:noProof/>
                    <w:webHidden/>
                  </w:rPr>
                  <w:tab/>
                </w:r>
                <w:r>
                  <w:rPr>
                    <w:noProof/>
                    <w:webHidden/>
                  </w:rPr>
                  <w:fldChar w:fldCharType="begin"/>
                </w:r>
                <w:r w:rsidR="00DB4D92">
                  <w:rPr>
                    <w:noProof/>
                    <w:webHidden/>
                  </w:rPr>
                  <w:instrText xml:space="preserve"> PAGEREF _Toc488866108 \h </w:instrText>
                </w:r>
                <w:r>
                  <w:rPr>
                    <w:noProof/>
                    <w:webHidden/>
                  </w:rPr>
                </w:r>
                <w:r>
                  <w:rPr>
                    <w:noProof/>
                    <w:webHidden/>
                  </w:rPr>
                  <w:fldChar w:fldCharType="separate"/>
                </w:r>
                <w:r w:rsidR="00DB4D92">
                  <w:rPr>
                    <w:noProof/>
                    <w:webHidden/>
                  </w:rPr>
                  <w:t>23</w:t>
                </w:r>
                <w:r>
                  <w:rPr>
                    <w:noProof/>
                    <w:webHidden/>
                  </w:rPr>
                  <w:fldChar w:fldCharType="end"/>
                </w:r>
              </w:hyperlink>
            </w:p>
            <w:p w:rsidR="001F1FAC" w:rsidRDefault="002849D5" w:rsidP="0046396F">
              <w:pPr>
                <w:ind w:right="1700"/>
              </w:pPr>
              <w:r>
                <w:rPr>
                  <w:b/>
                  <w:bCs/>
                </w:rPr>
                <w:fldChar w:fldCharType="end"/>
              </w:r>
            </w:p>
          </w:sdtContent>
        </w:sdt>
        <w:p w:rsidR="001F1FAC" w:rsidRDefault="001F1FAC">
          <w:pPr>
            <w:rPr>
              <w:rFonts w:cs="Calibri"/>
              <w:noProof/>
              <w:sz w:val="26"/>
              <w:szCs w:val="26"/>
              <w:lang w:val="fr-FR" w:eastAsia="fr-FR"/>
            </w:rPr>
          </w:pPr>
        </w:p>
        <w:p w:rsidR="001F1FAC" w:rsidRDefault="001F1FAC">
          <w:pPr>
            <w:rPr>
              <w:b/>
              <w:color w:val="0070C0"/>
              <w:sz w:val="28"/>
              <w:lang w:val="fr-FR"/>
            </w:rPr>
          </w:pPr>
          <w:r>
            <w:rPr>
              <w:b/>
              <w:color w:val="0070C0"/>
              <w:sz w:val="28"/>
              <w:lang w:val="fr-FR"/>
            </w:rPr>
            <w:br w:type="page"/>
          </w:r>
        </w:p>
        <w:p w:rsidR="00316753" w:rsidRDefault="00316753">
          <w:pPr>
            <w:rPr>
              <w:b/>
              <w:color w:val="0070C0"/>
              <w:sz w:val="28"/>
              <w:lang w:val="fr-FR"/>
            </w:rPr>
          </w:pPr>
        </w:p>
        <w:p w:rsidR="00743C00" w:rsidRPr="0042077B" w:rsidRDefault="00D85EE5" w:rsidP="0042077B">
          <w:pPr>
            <w:pStyle w:val="Titre1"/>
            <w:shd w:val="clear" w:color="auto" w:fill="000000" w:themeFill="text1"/>
            <w:spacing w:before="0"/>
            <w:ind w:firstLine="1560"/>
            <w:rPr>
              <w:rFonts w:ascii="Calibri" w:hAnsi="Calibri"/>
              <w:color w:val="FFFFFF" w:themeColor="background1"/>
              <w:lang w:eastAsia="fr-FR"/>
            </w:rPr>
          </w:pPr>
          <w:bookmarkStart w:id="0" w:name="_Toc488866101"/>
          <w:r w:rsidRPr="0042077B">
            <w:rPr>
              <w:rFonts w:ascii="Calibri" w:hAnsi="Calibri"/>
              <w:bCs w:val="0"/>
              <w:color w:val="FFFFFF" w:themeColor="background1"/>
              <w:lang w:eastAsia="fr-FR"/>
            </w:rPr>
            <w:t>Relevé des décisions de la</w:t>
          </w:r>
          <w:r w:rsidR="004616FD" w:rsidRPr="0042077B">
            <w:rPr>
              <w:rFonts w:ascii="Calibri" w:hAnsi="Calibri"/>
              <w:bCs w:val="0"/>
              <w:color w:val="FFFFFF" w:themeColor="background1"/>
              <w:lang w:eastAsia="fr-FR"/>
            </w:rPr>
            <w:t xml:space="preserve"> 68</w:t>
          </w:r>
          <w:r w:rsidR="004616FD" w:rsidRPr="00312E3F">
            <w:rPr>
              <w:rFonts w:ascii="Calibri" w:hAnsi="Calibri"/>
              <w:bCs w:val="0"/>
              <w:color w:val="FFFFFF" w:themeColor="background1"/>
              <w:vertAlign w:val="superscript"/>
              <w:lang w:eastAsia="fr-FR"/>
            </w:rPr>
            <w:t>ème</w:t>
          </w:r>
          <w:r w:rsidRPr="0042077B">
            <w:rPr>
              <w:rFonts w:ascii="Calibri" w:hAnsi="Calibri"/>
              <w:bCs w:val="0"/>
              <w:color w:val="FFFFFF" w:themeColor="background1"/>
              <w:lang w:eastAsia="fr-FR"/>
            </w:rPr>
            <w:t>réunion</w:t>
          </w:r>
          <w:r w:rsidR="004616FD" w:rsidRPr="0042077B">
            <w:rPr>
              <w:rFonts w:ascii="Calibri" w:hAnsi="Calibri"/>
              <w:bCs w:val="0"/>
              <w:color w:val="FFFFFF" w:themeColor="background1"/>
              <w:lang w:eastAsia="fr-FR"/>
            </w:rPr>
            <w:t xml:space="preserve"> du CE</w:t>
          </w:r>
        </w:p>
      </w:sdtContent>
    </w:sdt>
    <w:bookmarkEnd w:id="0" w:displacedByCustomXml="prev"/>
    <w:p w:rsidR="00E448B5" w:rsidRPr="0085750C" w:rsidRDefault="004616FD" w:rsidP="004616FD">
      <w:pPr>
        <w:tabs>
          <w:tab w:val="left" w:pos="5450"/>
        </w:tabs>
        <w:ind w:left="1418" w:right="1416"/>
        <w:rPr>
          <w:sz w:val="24"/>
          <w:lang w:val="fr-FR"/>
        </w:rPr>
      </w:pPr>
      <w:r>
        <w:rPr>
          <w:sz w:val="24"/>
          <w:lang w:val="fr-FR"/>
        </w:rPr>
        <w:tab/>
      </w:r>
    </w:p>
    <w:p w:rsidR="00AA456E" w:rsidRPr="004616FD" w:rsidRDefault="00AA456E" w:rsidP="00AA456E">
      <w:pPr>
        <w:ind w:left="1418" w:right="1416"/>
        <w:rPr>
          <w:lang w:val="fr-FR"/>
        </w:rPr>
      </w:pPr>
    </w:p>
    <w:tbl>
      <w:tblPr>
        <w:tblStyle w:val="ListTable3Accent1"/>
        <w:tblpPr w:leftFromText="141" w:rightFromText="141" w:vertAnchor="text" w:horzAnchor="margin" w:tblpXSpec="center" w:tblpY="312"/>
        <w:tblW w:w="9497" w:type="dxa"/>
        <w:tblLook w:val="04A0"/>
      </w:tblPr>
      <w:tblGrid>
        <w:gridCol w:w="1141"/>
        <w:gridCol w:w="4402"/>
        <w:gridCol w:w="1513"/>
        <w:gridCol w:w="2441"/>
      </w:tblGrid>
      <w:tr w:rsidR="004616FD" w:rsidTr="00CD590B">
        <w:trPr>
          <w:cnfStyle w:val="100000000000"/>
        </w:trPr>
        <w:tc>
          <w:tcPr>
            <w:cnfStyle w:val="001000000100"/>
            <w:tcW w:w="1141" w:type="dxa"/>
          </w:tcPr>
          <w:p w:rsidR="004616FD" w:rsidRPr="00A414A2" w:rsidRDefault="004616FD" w:rsidP="00A414A2">
            <w:pPr>
              <w:rPr>
                <w:b w:val="0"/>
                <w:lang w:val="fr-FR"/>
              </w:rPr>
            </w:pPr>
            <w:r w:rsidRPr="00A414A2">
              <w:rPr>
                <w:lang w:val="fr-FR"/>
              </w:rPr>
              <w:t>Référence</w:t>
            </w:r>
          </w:p>
        </w:tc>
        <w:tc>
          <w:tcPr>
            <w:tcW w:w="4402" w:type="dxa"/>
          </w:tcPr>
          <w:p w:rsidR="004616FD" w:rsidRPr="00A414A2" w:rsidRDefault="00455FA4" w:rsidP="00455FA4">
            <w:pPr>
              <w:cnfStyle w:val="100000000000"/>
              <w:rPr>
                <w:b w:val="0"/>
                <w:lang w:val="fr-FR"/>
              </w:rPr>
            </w:pPr>
            <w:r>
              <w:rPr>
                <w:lang w:val="fr-FR"/>
              </w:rPr>
              <w:t>Enoncé de la dé</w:t>
            </w:r>
            <w:r w:rsidR="004616FD" w:rsidRPr="00A414A2">
              <w:rPr>
                <w:lang w:val="fr-FR"/>
              </w:rPr>
              <w:t xml:space="preserve">cision </w:t>
            </w:r>
          </w:p>
        </w:tc>
        <w:tc>
          <w:tcPr>
            <w:tcW w:w="1513" w:type="dxa"/>
          </w:tcPr>
          <w:p w:rsidR="004616FD" w:rsidRPr="00A414A2" w:rsidRDefault="004616FD" w:rsidP="00A414A2">
            <w:pPr>
              <w:cnfStyle w:val="100000000000"/>
              <w:rPr>
                <w:b w:val="0"/>
                <w:lang w:val="fr-FR"/>
              </w:rPr>
            </w:pPr>
            <w:r w:rsidRPr="00A414A2">
              <w:rPr>
                <w:lang w:val="fr-FR"/>
              </w:rPr>
              <w:t>Statut</w:t>
            </w:r>
          </w:p>
        </w:tc>
        <w:tc>
          <w:tcPr>
            <w:tcW w:w="2441" w:type="dxa"/>
          </w:tcPr>
          <w:p w:rsidR="004616FD" w:rsidRPr="00A414A2" w:rsidRDefault="004616FD" w:rsidP="00A414A2">
            <w:pPr>
              <w:cnfStyle w:val="100000000000"/>
              <w:rPr>
                <w:b w:val="0"/>
                <w:lang w:val="fr-FR"/>
              </w:rPr>
            </w:pPr>
            <w:r w:rsidRPr="00A414A2">
              <w:rPr>
                <w:lang w:val="fr-FR"/>
              </w:rPr>
              <w:t xml:space="preserve">Observation </w:t>
            </w:r>
          </w:p>
        </w:tc>
      </w:tr>
      <w:tr w:rsidR="004616FD" w:rsidTr="00CD590B">
        <w:trPr>
          <w:cnfStyle w:val="000000100000"/>
          <w:trHeight w:val="834"/>
        </w:trPr>
        <w:tc>
          <w:tcPr>
            <w:cnfStyle w:val="001000000000"/>
            <w:tcW w:w="1141" w:type="dxa"/>
            <w:vAlign w:val="center"/>
          </w:tcPr>
          <w:p w:rsidR="004616FD" w:rsidRPr="007B25C1" w:rsidRDefault="004616FD" w:rsidP="00DB6273">
            <w:pPr>
              <w:rPr>
                <w:rFonts w:asciiTheme="minorHAnsi" w:hAnsiTheme="minorHAnsi"/>
              </w:rPr>
            </w:pPr>
            <w:r w:rsidRPr="007B25C1">
              <w:rPr>
                <w:rFonts w:asciiTheme="minorHAnsi" w:hAnsiTheme="minorHAnsi"/>
              </w:rPr>
              <w:t>68-3</w:t>
            </w:r>
          </w:p>
        </w:tc>
        <w:tc>
          <w:tcPr>
            <w:tcW w:w="4402" w:type="dxa"/>
            <w:vAlign w:val="center"/>
          </w:tcPr>
          <w:p w:rsidR="004616FD" w:rsidRPr="007B25C1" w:rsidRDefault="004616FD" w:rsidP="00DB6273">
            <w:pPr>
              <w:cnfStyle w:val="000000100000"/>
              <w:rPr>
                <w:rFonts w:asciiTheme="minorHAnsi" w:hAnsiTheme="minorHAnsi"/>
              </w:rPr>
            </w:pPr>
            <w:r w:rsidRPr="007B25C1">
              <w:rPr>
                <w:rFonts w:asciiTheme="minorHAnsi" w:hAnsiTheme="minorHAnsi"/>
              </w:rPr>
              <w:t>Le projet des procédures de désignation, de remplacement et de la durée du mandat des membres a été renvoyé à la Commission une fois de plus pour intégration des amendements et sera formellement présenté pour adoption à une autre réunion du CE</w:t>
            </w:r>
            <w:r w:rsidR="00CD590B">
              <w:rPr>
                <w:rFonts w:asciiTheme="minorHAnsi" w:hAnsiTheme="minorHAnsi"/>
              </w:rPr>
              <w:t>.</w:t>
            </w:r>
          </w:p>
        </w:tc>
        <w:tc>
          <w:tcPr>
            <w:tcW w:w="1513" w:type="dxa"/>
            <w:vAlign w:val="center"/>
          </w:tcPr>
          <w:p w:rsidR="004616FD" w:rsidRPr="007B25C1" w:rsidRDefault="004616FD" w:rsidP="00DB6273">
            <w:pPr>
              <w:cnfStyle w:val="000000100000"/>
              <w:rPr>
                <w:rFonts w:asciiTheme="minorHAnsi" w:hAnsiTheme="minorHAnsi"/>
              </w:rPr>
            </w:pPr>
            <w:r w:rsidRPr="007B25C1">
              <w:rPr>
                <w:rFonts w:asciiTheme="minorHAnsi" w:hAnsiTheme="minorHAnsi"/>
              </w:rPr>
              <w:t>Exécutée</w:t>
            </w:r>
          </w:p>
        </w:tc>
        <w:tc>
          <w:tcPr>
            <w:tcW w:w="2441" w:type="dxa"/>
            <w:vAlign w:val="center"/>
          </w:tcPr>
          <w:p w:rsidR="004616FD" w:rsidRDefault="004616FD" w:rsidP="00DB6273">
            <w:pPr>
              <w:cnfStyle w:val="000000100000"/>
              <w:rPr>
                <w:lang w:val="fr-FR"/>
              </w:rPr>
            </w:pPr>
          </w:p>
        </w:tc>
      </w:tr>
      <w:tr w:rsidR="008C3909" w:rsidTr="00CD590B">
        <w:trPr>
          <w:trHeight w:val="993"/>
        </w:trPr>
        <w:tc>
          <w:tcPr>
            <w:cnfStyle w:val="001000000000"/>
            <w:tcW w:w="1141" w:type="dxa"/>
            <w:vAlign w:val="center"/>
          </w:tcPr>
          <w:p w:rsidR="008C3909" w:rsidRPr="007B25C1" w:rsidRDefault="008C3909" w:rsidP="008C3909">
            <w:pPr>
              <w:rPr>
                <w:rFonts w:asciiTheme="minorHAnsi" w:hAnsiTheme="minorHAnsi"/>
              </w:rPr>
            </w:pPr>
            <w:r>
              <w:rPr>
                <w:rFonts w:asciiTheme="minorHAnsi" w:hAnsiTheme="minorHAnsi"/>
              </w:rPr>
              <w:t>68-4-a</w:t>
            </w:r>
          </w:p>
        </w:tc>
        <w:tc>
          <w:tcPr>
            <w:tcW w:w="4402" w:type="dxa"/>
            <w:vAlign w:val="center"/>
          </w:tcPr>
          <w:p w:rsidR="008C3909" w:rsidRPr="008A4697" w:rsidRDefault="008C3909" w:rsidP="008C3909">
            <w:pPr>
              <w:spacing w:before="240"/>
              <w:cnfStyle w:val="000000000000"/>
              <w:rPr>
                <w:rFonts w:asciiTheme="minorHAnsi" w:hAnsiTheme="minorHAnsi"/>
              </w:rPr>
            </w:pPr>
            <w:r w:rsidRPr="008A4697">
              <w:rPr>
                <w:rFonts w:asciiTheme="minorHAnsi" w:hAnsiTheme="minorHAnsi"/>
              </w:rPr>
              <w:t>Adopt</w:t>
            </w:r>
            <w:r>
              <w:rPr>
                <w:rFonts w:asciiTheme="minorHAnsi" w:hAnsiTheme="minorHAnsi"/>
              </w:rPr>
              <w:t>ion par l</w:t>
            </w:r>
            <w:r w:rsidRPr="008A4697">
              <w:rPr>
                <w:rFonts w:asciiTheme="minorHAnsi" w:hAnsiTheme="minorHAnsi"/>
              </w:rPr>
              <w:t>e C</w:t>
            </w:r>
            <w:r>
              <w:rPr>
                <w:rFonts w:asciiTheme="minorHAnsi" w:hAnsiTheme="minorHAnsi"/>
              </w:rPr>
              <w:t>.</w:t>
            </w:r>
            <w:r w:rsidRPr="008A4697">
              <w:rPr>
                <w:rFonts w:asciiTheme="minorHAnsi" w:hAnsiTheme="minorHAnsi"/>
              </w:rPr>
              <w:t xml:space="preserve">E </w:t>
            </w:r>
            <w:r>
              <w:rPr>
                <w:rFonts w:asciiTheme="minorHAnsi" w:hAnsiTheme="minorHAnsi"/>
              </w:rPr>
              <w:t xml:space="preserve">de </w:t>
            </w:r>
            <w:r w:rsidRPr="008A4697">
              <w:rPr>
                <w:rFonts w:asciiTheme="minorHAnsi" w:hAnsiTheme="minorHAnsi"/>
              </w:rPr>
              <w:t xml:space="preserve">l'exposé des motifs du Rapport pilote 2014 AM&amp;SF </w:t>
            </w:r>
          </w:p>
        </w:tc>
        <w:tc>
          <w:tcPr>
            <w:tcW w:w="1513" w:type="dxa"/>
            <w:vAlign w:val="center"/>
          </w:tcPr>
          <w:p w:rsidR="008C3909" w:rsidRPr="007B25C1" w:rsidRDefault="008C3909" w:rsidP="008C3909">
            <w:pPr>
              <w:cnfStyle w:val="000000000000"/>
              <w:rPr>
                <w:rFonts w:asciiTheme="minorHAnsi" w:hAnsiTheme="minorHAnsi"/>
              </w:rPr>
            </w:pPr>
            <w:r w:rsidRPr="007B25C1">
              <w:rPr>
                <w:rFonts w:asciiTheme="minorHAnsi" w:hAnsiTheme="minorHAnsi"/>
              </w:rPr>
              <w:t>Exécutée</w:t>
            </w:r>
          </w:p>
        </w:tc>
        <w:tc>
          <w:tcPr>
            <w:tcW w:w="2441" w:type="dxa"/>
            <w:vAlign w:val="center"/>
          </w:tcPr>
          <w:p w:rsidR="008C3909" w:rsidRDefault="008C3909" w:rsidP="008C3909">
            <w:pPr>
              <w:cnfStyle w:val="000000000000"/>
              <w:rPr>
                <w:lang w:val="fr-FR"/>
              </w:rPr>
            </w:pPr>
          </w:p>
        </w:tc>
      </w:tr>
      <w:tr w:rsidR="00CD590B" w:rsidTr="00CD590B">
        <w:trPr>
          <w:cnfStyle w:val="000000100000"/>
          <w:trHeight w:val="993"/>
        </w:trPr>
        <w:tc>
          <w:tcPr>
            <w:cnfStyle w:val="001000000000"/>
            <w:tcW w:w="1141" w:type="dxa"/>
            <w:vAlign w:val="center"/>
          </w:tcPr>
          <w:p w:rsidR="00CD590B" w:rsidRPr="007B25C1" w:rsidRDefault="00CD590B" w:rsidP="00CD590B">
            <w:pPr>
              <w:rPr>
                <w:rFonts w:asciiTheme="minorHAnsi" w:hAnsiTheme="minorHAnsi"/>
              </w:rPr>
            </w:pPr>
            <w:r>
              <w:rPr>
                <w:rFonts w:asciiTheme="minorHAnsi" w:hAnsiTheme="minorHAnsi"/>
              </w:rPr>
              <w:t>68-4-b</w:t>
            </w:r>
          </w:p>
        </w:tc>
        <w:tc>
          <w:tcPr>
            <w:tcW w:w="4402" w:type="dxa"/>
            <w:vAlign w:val="center"/>
          </w:tcPr>
          <w:p w:rsidR="00CD590B" w:rsidRPr="008A4697" w:rsidRDefault="008C3909" w:rsidP="008C3909">
            <w:pPr>
              <w:spacing w:before="240"/>
              <w:cnfStyle w:val="000000100000"/>
              <w:rPr>
                <w:rFonts w:asciiTheme="minorHAnsi" w:hAnsiTheme="minorHAnsi"/>
              </w:rPr>
            </w:pPr>
            <w:r>
              <w:rPr>
                <w:rFonts w:asciiTheme="minorHAnsi" w:hAnsiTheme="minorHAnsi"/>
              </w:rPr>
              <w:t xml:space="preserve">Produire le </w:t>
            </w:r>
            <w:r w:rsidRPr="008A4697">
              <w:rPr>
                <w:rFonts w:asciiTheme="minorHAnsi" w:hAnsiTheme="minorHAnsi"/>
              </w:rPr>
              <w:t xml:space="preserve">Rapport pilote 2014 AM&amp;SF </w:t>
            </w:r>
            <w:r>
              <w:rPr>
                <w:rFonts w:asciiTheme="minorHAnsi" w:hAnsiTheme="minorHAnsi"/>
              </w:rPr>
              <w:t xml:space="preserve">en 2017, à une </w:t>
            </w:r>
            <w:r w:rsidRPr="008A4697">
              <w:rPr>
                <w:rFonts w:asciiTheme="minorHAnsi" w:hAnsiTheme="minorHAnsi"/>
              </w:rPr>
              <w:t>date</w:t>
            </w:r>
            <w:r>
              <w:rPr>
                <w:rFonts w:asciiTheme="minorHAnsi" w:hAnsiTheme="minorHAnsi"/>
              </w:rPr>
              <w:t>qui sera fixée lors d’u</w:t>
            </w:r>
            <w:r w:rsidRPr="008A4697">
              <w:rPr>
                <w:rFonts w:asciiTheme="minorHAnsi" w:hAnsiTheme="minorHAnsi"/>
              </w:rPr>
              <w:t xml:space="preserve">ne </w:t>
            </w:r>
            <w:r>
              <w:rPr>
                <w:rFonts w:asciiTheme="minorHAnsi" w:hAnsiTheme="minorHAnsi"/>
              </w:rPr>
              <w:t xml:space="preserve">prochaine </w:t>
            </w:r>
            <w:r w:rsidRPr="008A4697">
              <w:rPr>
                <w:rFonts w:asciiTheme="minorHAnsi" w:hAnsiTheme="minorHAnsi"/>
              </w:rPr>
              <w:t xml:space="preserve">réunion extraordinaire </w:t>
            </w:r>
            <w:r>
              <w:rPr>
                <w:rFonts w:asciiTheme="minorHAnsi" w:hAnsiTheme="minorHAnsi"/>
              </w:rPr>
              <w:t>du C.E.</w:t>
            </w:r>
          </w:p>
        </w:tc>
        <w:tc>
          <w:tcPr>
            <w:tcW w:w="1513" w:type="dxa"/>
            <w:vAlign w:val="center"/>
          </w:tcPr>
          <w:p w:rsidR="00CD590B" w:rsidRPr="008C3909" w:rsidRDefault="008C3909" w:rsidP="00CD590B">
            <w:pPr>
              <w:cnfStyle w:val="000000100000"/>
              <w:rPr>
                <w:rFonts w:asciiTheme="minorHAnsi" w:hAnsiTheme="minorHAnsi"/>
              </w:rPr>
            </w:pPr>
            <w:r w:rsidRPr="008C3909">
              <w:rPr>
                <w:rFonts w:asciiTheme="minorHAnsi" w:hAnsiTheme="minorHAnsi"/>
              </w:rPr>
              <w:t xml:space="preserve">En cours </w:t>
            </w:r>
          </w:p>
        </w:tc>
        <w:tc>
          <w:tcPr>
            <w:tcW w:w="2441" w:type="dxa"/>
            <w:vAlign w:val="center"/>
          </w:tcPr>
          <w:p w:rsidR="00CD590B" w:rsidRDefault="00CD590B" w:rsidP="00CD590B">
            <w:pPr>
              <w:cnfStyle w:val="000000100000"/>
              <w:rPr>
                <w:lang w:val="fr-FR"/>
              </w:rPr>
            </w:pPr>
          </w:p>
        </w:tc>
      </w:tr>
    </w:tbl>
    <w:p w:rsidR="00AA456E" w:rsidRDefault="00AA456E" w:rsidP="00AA456E">
      <w:pPr>
        <w:ind w:left="1418" w:right="1416"/>
        <w:rPr>
          <w:sz w:val="2"/>
          <w:lang w:val="fr-FR"/>
        </w:rPr>
      </w:pPr>
    </w:p>
    <w:p w:rsidR="00304AFF" w:rsidRDefault="00304AFF">
      <w:pPr>
        <w:rPr>
          <w:sz w:val="2"/>
          <w:lang w:val="fr-FR"/>
        </w:rPr>
      </w:pPr>
      <w:r>
        <w:rPr>
          <w:sz w:val="2"/>
          <w:lang w:val="fr-FR"/>
        </w:rPr>
        <w:br w:type="page"/>
      </w:r>
    </w:p>
    <w:p w:rsidR="00AA456E" w:rsidRPr="00465A3C" w:rsidRDefault="00AA456E" w:rsidP="00AA456E">
      <w:pPr>
        <w:ind w:left="1418" w:right="1416"/>
        <w:rPr>
          <w:sz w:val="2"/>
          <w:lang w:val="fr-FR"/>
        </w:rPr>
      </w:pPr>
    </w:p>
    <w:p w:rsidR="00E448B5" w:rsidRDefault="003813A2" w:rsidP="00ED0D4C">
      <w:pPr>
        <w:shd w:val="clear" w:color="auto" w:fill="000000"/>
        <w:spacing w:after="0"/>
        <w:ind w:right="-1417" w:firstLine="1418"/>
        <w:rPr>
          <w:lang w:val="fr-FR"/>
        </w:rPr>
      </w:pPr>
      <w:r>
        <w:rPr>
          <w:lang w:val="fr-FR"/>
        </w:rPr>
        <w:t>Document du Comité Exécutif  68</w:t>
      </w:r>
      <w:r w:rsidR="00E448B5">
        <w:rPr>
          <w:lang w:val="fr-FR"/>
        </w:rPr>
        <w:t xml:space="preserve">-1-A                                                         </w:t>
      </w:r>
      <w:r>
        <w:rPr>
          <w:lang w:val="fr-FR"/>
        </w:rPr>
        <w:tab/>
        <w:t xml:space="preserve"> Kinshasa, le 23 mars 2016</w:t>
      </w:r>
    </w:p>
    <w:p w:rsidR="00E448B5" w:rsidRDefault="00E448B5" w:rsidP="00ED0D4C">
      <w:pPr>
        <w:shd w:val="clear" w:color="auto" w:fill="00B0F0"/>
        <w:spacing w:after="0"/>
        <w:ind w:right="-1417" w:firstLine="1417"/>
        <w:rPr>
          <w:b/>
          <w:lang w:val="fr-FR"/>
        </w:rPr>
      </w:pPr>
      <w:bookmarkStart w:id="1" w:name="_Toc488866102"/>
      <w:r w:rsidRPr="001F1FAC">
        <w:rPr>
          <w:rStyle w:val="Titre1Car"/>
          <w:rFonts w:ascii="Calibri" w:eastAsia="Calibri" w:hAnsi="Calibri"/>
          <w:color w:val="auto"/>
        </w:rPr>
        <w:t>PROJET DE L’ORDRE DU JOUR</w:t>
      </w:r>
      <w:bookmarkEnd w:id="1"/>
      <w:r>
        <w:rPr>
          <w:b/>
          <w:sz w:val="32"/>
          <w:lang w:val="fr-FR"/>
        </w:rPr>
        <w:tab/>
      </w:r>
      <w:r>
        <w:rPr>
          <w:b/>
          <w:sz w:val="32"/>
          <w:lang w:val="fr-FR"/>
        </w:rPr>
        <w:tab/>
      </w:r>
      <w:r>
        <w:rPr>
          <w:b/>
          <w:lang w:val="fr-FR"/>
        </w:rPr>
        <w:t>Soumis par le Secrétariat Technique</w:t>
      </w:r>
    </w:p>
    <w:p w:rsidR="00E448B5" w:rsidRPr="00B60967" w:rsidRDefault="00E448B5" w:rsidP="00E448B5">
      <w:pPr>
        <w:shd w:val="clear" w:color="auto" w:fill="00B0F0"/>
        <w:ind w:left="-1417" w:right="-1417" w:firstLine="1417"/>
        <w:rPr>
          <w:b/>
          <w:sz w:val="2"/>
          <w:lang w:val="fr-FR"/>
        </w:rPr>
      </w:pPr>
    </w:p>
    <w:p w:rsidR="00E448B5" w:rsidRDefault="003813A2" w:rsidP="00ED0D4C">
      <w:pPr>
        <w:spacing w:after="0"/>
        <w:ind w:left="1418"/>
        <w:rPr>
          <w:b/>
          <w:color w:val="0070C0"/>
          <w:sz w:val="28"/>
          <w:lang w:val="fr-FR"/>
        </w:rPr>
      </w:pPr>
      <w:r>
        <w:rPr>
          <w:b/>
          <w:color w:val="0070C0"/>
          <w:sz w:val="28"/>
          <w:lang w:val="fr-FR"/>
        </w:rPr>
        <w:t>Mercredi 23 mars 2016</w:t>
      </w:r>
    </w:p>
    <w:p w:rsidR="00E448B5" w:rsidRPr="005F7EC4" w:rsidRDefault="00E448B5" w:rsidP="00E448B5">
      <w:pPr>
        <w:spacing w:after="0"/>
        <w:rPr>
          <w:i/>
          <w:sz w:val="24"/>
          <w:szCs w:val="18"/>
          <w:lang w:val="fr-FR"/>
        </w:rPr>
      </w:pPr>
    </w:p>
    <w:p w:rsidR="00E448B5" w:rsidRPr="005805ED" w:rsidRDefault="00E448B5" w:rsidP="00E314B7">
      <w:pPr>
        <w:numPr>
          <w:ilvl w:val="0"/>
          <w:numId w:val="1"/>
        </w:numPr>
        <w:spacing w:after="0"/>
        <w:ind w:left="2127" w:right="1133" w:hanging="709"/>
        <w:rPr>
          <w:sz w:val="32"/>
          <w:lang w:val="fr-FR"/>
        </w:rPr>
      </w:pPr>
      <w:r w:rsidRPr="00CA098B">
        <w:rPr>
          <w:b/>
          <w:sz w:val="24"/>
          <w:lang w:val="fr-FR"/>
        </w:rPr>
        <w:t>Adoption de l’ordre du jour</w:t>
      </w:r>
    </w:p>
    <w:p w:rsidR="00E448B5" w:rsidRDefault="00E448B5" w:rsidP="00E314B7">
      <w:pPr>
        <w:spacing w:after="0"/>
        <w:ind w:left="2836" w:right="1133" w:hanging="709"/>
        <w:rPr>
          <w:i/>
          <w:sz w:val="24"/>
          <w:szCs w:val="18"/>
          <w:lang w:val="fr-FR"/>
        </w:rPr>
      </w:pPr>
      <w:r w:rsidRPr="005F7EC4">
        <w:rPr>
          <w:i/>
          <w:sz w:val="24"/>
          <w:szCs w:val="18"/>
          <w:lang w:val="fr-FR"/>
        </w:rPr>
        <w:t>Doc</w:t>
      </w:r>
      <w:r w:rsidR="00FA7F04">
        <w:rPr>
          <w:i/>
          <w:sz w:val="24"/>
          <w:szCs w:val="18"/>
          <w:lang w:val="fr-FR"/>
        </w:rPr>
        <w:t>ument du Comité Exécutif 68</w:t>
      </w:r>
      <w:r>
        <w:rPr>
          <w:i/>
          <w:sz w:val="24"/>
          <w:szCs w:val="18"/>
          <w:lang w:val="fr-FR"/>
        </w:rPr>
        <w:t>-1-A</w:t>
      </w:r>
      <w:r w:rsidRPr="005F7EC4">
        <w:rPr>
          <w:i/>
          <w:sz w:val="24"/>
          <w:szCs w:val="18"/>
          <w:lang w:val="fr-FR"/>
        </w:rPr>
        <w:tab/>
        <w:t>Projet de l’ordre du jour</w:t>
      </w:r>
    </w:p>
    <w:p w:rsidR="00E448B5" w:rsidRPr="00CA098B" w:rsidRDefault="00E448B5" w:rsidP="00E314B7">
      <w:pPr>
        <w:spacing w:after="0"/>
        <w:ind w:left="2127" w:right="1133" w:hanging="709"/>
        <w:rPr>
          <w:sz w:val="32"/>
          <w:lang w:val="fr-FR"/>
        </w:rPr>
      </w:pPr>
    </w:p>
    <w:p w:rsidR="00E448B5" w:rsidRPr="005F7EC4" w:rsidRDefault="00E448B5" w:rsidP="00E314B7">
      <w:pPr>
        <w:numPr>
          <w:ilvl w:val="0"/>
          <w:numId w:val="1"/>
        </w:numPr>
        <w:spacing w:after="0"/>
        <w:ind w:left="2127" w:right="1133" w:hanging="709"/>
        <w:rPr>
          <w:b/>
          <w:sz w:val="24"/>
          <w:lang w:val="fr-FR"/>
        </w:rPr>
      </w:pPr>
      <w:r w:rsidRPr="005F7EC4">
        <w:rPr>
          <w:b/>
          <w:sz w:val="24"/>
          <w:lang w:val="fr-FR"/>
        </w:rPr>
        <w:t>Adoption du PV de la</w:t>
      </w:r>
      <w:r w:rsidR="001608E3">
        <w:rPr>
          <w:b/>
          <w:sz w:val="24"/>
          <w:lang w:val="fr-FR"/>
        </w:rPr>
        <w:t xml:space="preserve"> réunion du Comité Exécutif du 23 décembre 2015</w:t>
      </w:r>
    </w:p>
    <w:p w:rsidR="00E448B5" w:rsidRDefault="00FA7F04" w:rsidP="00E314B7">
      <w:pPr>
        <w:spacing w:after="0"/>
        <w:ind w:left="2836" w:right="1133" w:hanging="709"/>
        <w:rPr>
          <w:i/>
          <w:sz w:val="24"/>
          <w:szCs w:val="18"/>
          <w:lang w:val="fr-FR"/>
        </w:rPr>
      </w:pPr>
      <w:r>
        <w:rPr>
          <w:i/>
          <w:sz w:val="24"/>
          <w:szCs w:val="18"/>
          <w:lang w:val="fr-FR"/>
        </w:rPr>
        <w:t>Document du Comité Exécutif 68</w:t>
      </w:r>
      <w:r w:rsidR="00E448B5" w:rsidRPr="005F7EC4">
        <w:rPr>
          <w:i/>
          <w:sz w:val="24"/>
          <w:szCs w:val="18"/>
          <w:lang w:val="fr-FR"/>
        </w:rPr>
        <w:t>-</w:t>
      </w:r>
      <w:r w:rsidR="00E448B5">
        <w:rPr>
          <w:i/>
          <w:sz w:val="24"/>
          <w:szCs w:val="18"/>
          <w:lang w:val="fr-FR"/>
        </w:rPr>
        <w:t xml:space="preserve">1-B           </w:t>
      </w:r>
      <w:r w:rsidR="00E448B5" w:rsidRPr="005F7EC4">
        <w:rPr>
          <w:i/>
          <w:sz w:val="24"/>
          <w:szCs w:val="18"/>
          <w:lang w:val="fr-FR"/>
        </w:rPr>
        <w:t>Projet du Procès-verbal</w:t>
      </w:r>
    </w:p>
    <w:p w:rsidR="00E448B5" w:rsidRDefault="00E448B5" w:rsidP="00E314B7">
      <w:pPr>
        <w:spacing w:after="0"/>
        <w:ind w:left="2127" w:right="1133" w:hanging="709"/>
        <w:rPr>
          <w:b/>
          <w:sz w:val="24"/>
          <w:szCs w:val="18"/>
          <w:lang w:val="fr-FR"/>
        </w:rPr>
      </w:pPr>
    </w:p>
    <w:p w:rsidR="00E448B5" w:rsidRDefault="00FA7F04" w:rsidP="00E314B7">
      <w:pPr>
        <w:numPr>
          <w:ilvl w:val="0"/>
          <w:numId w:val="1"/>
        </w:numPr>
        <w:spacing w:after="0" w:line="240" w:lineRule="auto"/>
        <w:ind w:left="2127" w:right="1133" w:hanging="709"/>
        <w:rPr>
          <w:b/>
          <w:sz w:val="24"/>
          <w:szCs w:val="18"/>
          <w:lang w:val="fr-FR"/>
        </w:rPr>
      </w:pPr>
      <w:r>
        <w:rPr>
          <w:b/>
          <w:sz w:val="24"/>
          <w:szCs w:val="18"/>
          <w:lang w:val="fr-FR"/>
        </w:rPr>
        <w:t>Adoption des procédures désignation, remplacement et de la durée des mandats des membres du Comité Exécutif.</w:t>
      </w:r>
    </w:p>
    <w:p w:rsidR="00FA7F04" w:rsidRPr="00FA7F04" w:rsidRDefault="00FA7F04" w:rsidP="00E314B7">
      <w:pPr>
        <w:spacing w:after="0" w:line="240" w:lineRule="auto"/>
        <w:ind w:left="2836" w:right="1133" w:hanging="709"/>
        <w:rPr>
          <w:b/>
          <w:sz w:val="24"/>
          <w:szCs w:val="18"/>
          <w:lang w:val="fr-FR"/>
        </w:rPr>
      </w:pPr>
      <w:r>
        <w:rPr>
          <w:i/>
          <w:sz w:val="24"/>
          <w:szCs w:val="18"/>
          <w:lang w:val="fr-FR"/>
        </w:rPr>
        <w:t>Document du Comité Exécutif 68</w:t>
      </w:r>
      <w:r w:rsidRPr="005F7EC4">
        <w:rPr>
          <w:i/>
          <w:sz w:val="24"/>
          <w:szCs w:val="18"/>
          <w:lang w:val="fr-FR"/>
        </w:rPr>
        <w:t>-</w:t>
      </w:r>
      <w:r>
        <w:rPr>
          <w:i/>
          <w:sz w:val="24"/>
          <w:szCs w:val="18"/>
          <w:lang w:val="fr-FR"/>
        </w:rPr>
        <w:t xml:space="preserve">2           </w:t>
      </w:r>
    </w:p>
    <w:p w:rsidR="00E448B5" w:rsidRDefault="00E448B5" w:rsidP="00E314B7">
      <w:pPr>
        <w:spacing w:after="0" w:line="240" w:lineRule="auto"/>
        <w:ind w:left="2127" w:right="1133" w:hanging="709"/>
        <w:rPr>
          <w:b/>
          <w:sz w:val="24"/>
          <w:szCs w:val="18"/>
          <w:lang w:val="fr-FR"/>
        </w:rPr>
      </w:pPr>
    </w:p>
    <w:p w:rsidR="00041BDB" w:rsidRDefault="00041BDB" w:rsidP="00E314B7">
      <w:pPr>
        <w:pStyle w:val="Paragraphedeliste"/>
        <w:numPr>
          <w:ilvl w:val="0"/>
          <w:numId w:val="1"/>
        </w:numPr>
        <w:spacing w:before="120" w:after="0" w:line="240" w:lineRule="auto"/>
        <w:ind w:left="2127" w:right="1133" w:hanging="709"/>
        <w:rPr>
          <w:rFonts w:asciiTheme="minorHAnsi" w:eastAsia="Times New Roman" w:hAnsiTheme="minorHAnsi" w:cs="Tahoma"/>
          <w:b/>
          <w:sz w:val="24"/>
          <w:szCs w:val="24"/>
          <w:lang w:eastAsia="fr-FR"/>
        </w:rPr>
      </w:pPr>
      <w:r w:rsidRPr="00DA3F19">
        <w:rPr>
          <w:rFonts w:asciiTheme="minorHAnsi" w:eastAsia="Times New Roman" w:hAnsiTheme="minorHAnsi" w:cs="Tahoma"/>
          <w:b/>
          <w:sz w:val="24"/>
          <w:szCs w:val="24"/>
          <w:lang w:eastAsia="fr-FR"/>
        </w:rPr>
        <w:t xml:space="preserve">Exposé des motifs de l’élaboration du Rapport ITIE-RDC 2014 Secteurs Minier Artisanal et Forestier. </w:t>
      </w:r>
    </w:p>
    <w:p w:rsidR="00041BDB" w:rsidRPr="00041BDB" w:rsidRDefault="00ED0D4C" w:rsidP="00E314B7">
      <w:pPr>
        <w:spacing w:after="0" w:line="240" w:lineRule="auto"/>
        <w:ind w:left="2127" w:right="1133" w:hanging="709"/>
        <w:rPr>
          <w:rFonts w:asciiTheme="minorHAnsi" w:eastAsia="Arial Unicode MS" w:hAnsiTheme="minorHAnsi" w:cs="Tahoma"/>
          <w:i/>
          <w:sz w:val="24"/>
          <w:szCs w:val="24"/>
          <w:lang w:eastAsia="fr-FR"/>
        </w:rPr>
      </w:pPr>
      <w:r>
        <w:rPr>
          <w:i/>
          <w:sz w:val="24"/>
          <w:szCs w:val="18"/>
          <w:lang w:val="fr-FR"/>
        </w:rPr>
        <w:tab/>
      </w:r>
      <w:r w:rsidR="00041BDB">
        <w:rPr>
          <w:i/>
          <w:sz w:val="24"/>
          <w:szCs w:val="18"/>
          <w:lang w:val="fr-FR"/>
        </w:rPr>
        <w:t>Document du Comité Exécutif 68</w:t>
      </w:r>
      <w:r w:rsidR="00041BDB" w:rsidRPr="005F7EC4">
        <w:rPr>
          <w:i/>
          <w:sz w:val="24"/>
          <w:szCs w:val="18"/>
          <w:lang w:val="fr-FR"/>
        </w:rPr>
        <w:t>-</w:t>
      </w:r>
      <w:r w:rsidR="00041BDB">
        <w:rPr>
          <w:i/>
          <w:sz w:val="24"/>
          <w:szCs w:val="18"/>
          <w:lang w:val="fr-FR"/>
        </w:rPr>
        <w:t xml:space="preserve">3           </w:t>
      </w:r>
    </w:p>
    <w:p w:rsidR="00041BDB" w:rsidRPr="00DA3F19" w:rsidRDefault="00041BDB" w:rsidP="00E314B7">
      <w:pPr>
        <w:pStyle w:val="Paragraphedeliste"/>
        <w:spacing w:before="120" w:after="0" w:line="240" w:lineRule="auto"/>
        <w:ind w:left="2127" w:right="1133" w:hanging="709"/>
        <w:rPr>
          <w:rFonts w:asciiTheme="minorHAnsi" w:eastAsia="Times New Roman" w:hAnsiTheme="minorHAnsi" w:cs="Tahoma"/>
          <w:b/>
          <w:sz w:val="24"/>
          <w:szCs w:val="24"/>
          <w:lang w:eastAsia="fr-FR"/>
        </w:rPr>
      </w:pPr>
    </w:p>
    <w:p w:rsidR="00041BDB" w:rsidRPr="00041BDB" w:rsidRDefault="00041BDB" w:rsidP="00E314B7">
      <w:pPr>
        <w:pStyle w:val="Paragraphedeliste"/>
        <w:numPr>
          <w:ilvl w:val="0"/>
          <w:numId w:val="1"/>
        </w:numPr>
        <w:spacing w:before="120" w:after="0" w:line="240" w:lineRule="auto"/>
        <w:ind w:left="2127" w:right="1133" w:hanging="709"/>
        <w:rPr>
          <w:rFonts w:asciiTheme="minorHAnsi" w:eastAsia="Times New Roman" w:hAnsiTheme="minorHAnsi" w:cs="Tahoma"/>
          <w:b/>
          <w:sz w:val="24"/>
          <w:szCs w:val="24"/>
          <w:lang w:eastAsia="fr-FR"/>
        </w:rPr>
      </w:pPr>
      <w:r w:rsidRPr="00041BDB">
        <w:rPr>
          <w:rFonts w:asciiTheme="minorHAnsi" w:eastAsia="Times New Roman" w:hAnsiTheme="minorHAnsi" w:cs="Tahoma"/>
          <w:b/>
          <w:sz w:val="24"/>
          <w:szCs w:val="24"/>
          <w:lang w:eastAsia="fr-FR"/>
        </w:rPr>
        <w:t xml:space="preserve">Actualisation Cadrage Secteur Industriel du Rapport ITIE-RDC 2015. </w:t>
      </w:r>
    </w:p>
    <w:p w:rsidR="006B1C0A" w:rsidRPr="006B1C0A" w:rsidRDefault="006B1C0A" w:rsidP="00E314B7">
      <w:pPr>
        <w:spacing w:after="0" w:line="240" w:lineRule="auto"/>
        <w:ind w:left="2127" w:right="1133" w:hanging="709"/>
        <w:rPr>
          <w:rFonts w:asciiTheme="minorHAnsi" w:eastAsia="Arial Unicode MS" w:hAnsiTheme="minorHAnsi" w:cs="Tahoma"/>
          <w:i/>
          <w:sz w:val="24"/>
          <w:szCs w:val="24"/>
          <w:lang w:eastAsia="fr-FR"/>
        </w:rPr>
      </w:pPr>
      <w:r>
        <w:rPr>
          <w:i/>
          <w:sz w:val="24"/>
          <w:szCs w:val="18"/>
          <w:lang w:val="fr-FR"/>
        </w:rPr>
        <w:t>Document du Comité Exécutif 68</w:t>
      </w:r>
      <w:r w:rsidRPr="005F7EC4">
        <w:rPr>
          <w:i/>
          <w:sz w:val="24"/>
          <w:szCs w:val="18"/>
          <w:lang w:val="fr-FR"/>
        </w:rPr>
        <w:t>-</w:t>
      </w:r>
      <w:r>
        <w:rPr>
          <w:i/>
          <w:sz w:val="24"/>
          <w:szCs w:val="18"/>
          <w:lang w:val="fr-FR"/>
        </w:rPr>
        <w:t>4</w:t>
      </w:r>
    </w:p>
    <w:p w:rsidR="006B1C0A" w:rsidRPr="00DA3F19" w:rsidRDefault="006B1C0A" w:rsidP="00E314B7">
      <w:pPr>
        <w:pStyle w:val="Paragraphedeliste"/>
        <w:spacing w:after="0" w:line="240" w:lineRule="auto"/>
        <w:ind w:left="2127" w:right="1133" w:hanging="709"/>
        <w:rPr>
          <w:rFonts w:asciiTheme="minorHAnsi" w:eastAsia="Arial Unicode MS" w:hAnsiTheme="minorHAnsi" w:cs="Tahoma"/>
          <w:sz w:val="24"/>
          <w:szCs w:val="24"/>
        </w:rPr>
      </w:pPr>
    </w:p>
    <w:p w:rsidR="00E448B5" w:rsidRDefault="006B1C0A" w:rsidP="00E314B7">
      <w:pPr>
        <w:pStyle w:val="Paragraphedeliste"/>
        <w:numPr>
          <w:ilvl w:val="0"/>
          <w:numId w:val="1"/>
        </w:numPr>
        <w:spacing w:after="0"/>
        <w:ind w:left="2127" w:right="1133" w:hanging="709"/>
        <w:rPr>
          <w:b/>
          <w:sz w:val="24"/>
          <w:szCs w:val="18"/>
          <w:lang w:val="fr-FR"/>
        </w:rPr>
      </w:pPr>
      <w:r>
        <w:rPr>
          <w:b/>
          <w:sz w:val="24"/>
          <w:szCs w:val="18"/>
          <w:lang w:val="fr-FR"/>
        </w:rPr>
        <w:t>Divers</w:t>
      </w:r>
      <w:r w:rsidR="00B22F63">
        <w:rPr>
          <w:b/>
          <w:sz w:val="24"/>
          <w:szCs w:val="18"/>
          <w:lang w:val="fr-FR"/>
        </w:rPr>
        <w:t> :</w:t>
      </w:r>
    </w:p>
    <w:p w:rsidR="00B22F63" w:rsidRDefault="00406336" w:rsidP="00E314B7">
      <w:pPr>
        <w:pStyle w:val="Paragraphedeliste"/>
        <w:numPr>
          <w:ilvl w:val="0"/>
          <w:numId w:val="32"/>
        </w:numPr>
        <w:tabs>
          <w:tab w:val="left" w:pos="2694"/>
        </w:tabs>
        <w:spacing w:after="0"/>
        <w:ind w:left="2694" w:right="1133" w:hanging="284"/>
        <w:rPr>
          <w:i/>
          <w:sz w:val="24"/>
          <w:szCs w:val="18"/>
          <w:lang w:val="fr-FR"/>
        </w:rPr>
      </w:pPr>
      <w:r w:rsidRPr="00B22F63">
        <w:rPr>
          <w:i/>
          <w:sz w:val="24"/>
          <w:szCs w:val="18"/>
          <w:lang w:val="fr-FR"/>
        </w:rPr>
        <w:t xml:space="preserve">Document du Comité Exécutif 68-5 </w:t>
      </w:r>
      <w:r w:rsidR="00151366" w:rsidRPr="00B22F63">
        <w:rPr>
          <w:i/>
          <w:sz w:val="24"/>
          <w:szCs w:val="18"/>
          <w:lang w:val="fr-FR"/>
        </w:rPr>
        <w:t>-A  Rapport de la mission de Mbuji-Mayi</w:t>
      </w:r>
      <w:r w:rsidR="001F1FAC" w:rsidRPr="00B22F63">
        <w:rPr>
          <w:i/>
          <w:sz w:val="24"/>
          <w:szCs w:val="18"/>
          <w:lang w:val="fr-FR"/>
        </w:rPr>
        <w:t>.</w:t>
      </w:r>
    </w:p>
    <w:p w:rsidR="00B22F63" w:rsidRDefault="00B22F63" w:rsidP="00E314B7">
      <w:pPr>
        <w:pStyle w:val="Paragraphedeliste"/>
        <w:numPr>
          <w:ilvl w:val="0"/>
          <w:numId w:val="32"/>
        </w:numPr>
        <w:tabs>
          <w:tab w:val="left" w:pos="2694"/>
        </w:tabs>
        <w:spacing w:after="0"/>
        <w:ind w:left="2694" w:right="1133" w:hanging="284"/>
        <w:rPr>
          <w:i/>
          <w:sz w:val="24"/>
          <w:szCs w:val="18"/>
          <w:lang w:val="fr-FR"/>
        </w:rPr>
      </w:pPr>
      <w:r>
        <w:rPr>
          <w:i/>
          <w:sz w:val="24"/>
          <w:szCs w:val="18"/>
          <w:lang w:val="fr-FR"/>
        </w:rPr>
        <w:t xml:space="preserve">Informations sur : </w:t>
      </w:r>
    </w:p>
    <w:p w:rsidR="001F1FAC" w:rsidRPr="00B22F63" w:rsidRDefault="00B22F63" w:rsidP="00E314B7">
      <w:pPr>
        <w:pStyle w:val="Paragraphedeliste"/>
        <w:numPr>
          <w:ilvl w:val="0"/>
          <w:numId w:val="33"/>
        </w:numPr>
        <w:tabs>
          <w:tab w:val="left" w:pos="3544"/>
        </w:tabs>
        <w:spacing w:after="0"/>
        <w:ind w:left="3544" w:right="1133" w:hanging="283"/>
        <w:rPr>
          <w:i/>
          <w:sz w:val="24"/>
          <w:szCs w:val="18"/>
          <w:lang w:val="fr-FR"/>
        </w:rPr>
      </w:pPr>
      <w:r>
        <w:rPr>
          <w:i/>
          <w:sz w:val="24"/>
          <w:szCs w:val="18"/>
          <w:lang w:val="fr-FR"/>
        </w:rPr>
        <w:t>L’a</w:t>
      </w:r>
      <w:r w:rsidR="00562159" w:rsidRPr="00B22F63">
        <w:rPr>
          <w:i/>
          <w:sz w:val="24"/>
          <w:szCs w:val="18"/>
          <w:lang w:val="fr-FR"/>
        </w:rPr>
        <w:t>telier sur</w:t>
      </w:r>
      <w:r w:rsidR="00ED0D4C" w:rsidRPr="00B22F63">
        <w:rPr>
          <w:i/>
          <w:sz w:val="24"/>
          <w:szCs w:val="18"/>
          <w:lang w:val="fr-FR"/>
        </w:rPr>
        <w:t xml:space="preserve"> la mise en œuvre des </w:t>
      </w:r>
      <w:r w:rsidR="00562159" w:rsidRPr="00B22F63">
        <w:rPr>
          <w:i/>
          <w:sz w:val="24"/>
          <w:szCs w:val="18"/>
          <w:lang w:val="fr-FR"/>
        </w:rPr>
        <w:t>recommandations de l’Administrateur Indépendant et sur le processus de validation.</w:t>
      </w:r>
    </w:p>
    <w:p w:rsidR="001F1FAC" w:rsidRPr="00B22F63" w:rsidRDefault="00B22F63" w:rsidP="00E314B7">
      <w:pPr>
        <w:pStyle w:val="Paragraphedeliste"/>
        <w:numPr>
          <w:ilvl w:val="0"/>
          <w:numId w:val="33"/>
        </w:numPr>
        <w:tabs>
          <w:tab w:val="left" w:pos="3544"/>
        </w:tabs>
        <w:spacing w:after="0"/>
        <w:ind w:left="3544" w:right="1133" w:hanging="283"/>
        <w:rPr>
          <w:i/>
          <w:sz w:val="24"/>
          <w:szCs w:val="18"/>
          <w:lang w:val="fr-FR"/>
        </w:rPr>
      </w:pPr>
      <w:r>
        <w:rPr>
          <w:i/>
          <w:sz w:val="24"/>
          <w:szCs w:val="18"/>
          <w:lang w:val="fr-FR"/>
        </w:rPr>
        <w:t>La r</w:t>
      </w:r>
      <w:r w:rsidR="00562159" w:rsidRPr="00B22F63">
        <w:rPr>
          <w:i/>
          <w:sz w:val="24"/>
          <w:szCs w:val="18"/>
          <w:lang w:val="fr-FR"/>
        </w:rPr>
        <w:t>éunion des Coordonnateurs Nationaux d’Afrique</w:t>
      </w:r>
      <w:r w:rsidR="001F1FAC" w:rsidRPr="00B22F63">
        <w:rPr>
          <w:i/>
          <w:sz w:val="24"/>
          <w:szCs w:val="18"/>
          <w:lang w:val="fr-FR"/>
        </w:rPr>
        <w:t>.</w:t>
      </w:r>
    </w:p>
    <w:p w:rsidR="00562159" w:rsidRPr="00B22F63" w:rsidRDefault="00B22F63" w:rsidP="00E314B7">
      <w:pPr>
        <w:pStyle w:val="Paragraphedeliste"/>
        <w:numPr>
          <w:ilvl w:val="0"/>
          <w:numId w:val="33"/>
        </w:numPr>
        <w:tabs>
          <w:tab w:val="left" w:pos="3544"/>
        </w:tabs>
        <w:spacing w:after="0"/>
        <w:ind w:left="3544" w:right="1133" w:hanging="283"/>
        <w:rPr>
          <w:i/>
          <w:sz w:val="24"/>
          <w:szCs w:val="18"/>
          <w:lang w:val="fr-FR"/>
        </w:rPr>
      </w:pPr>
      <w:r>
        <w:rPr>
          <w:i/>
          <w:sz w:val="24"/>
          <w:szCs w:val="18"/>
          <w:lang w:val="fr-FR"/>
        </w:rPr>
        <w:t>L’a</w:t>
      </w:r>
      <w:r w:rsidR="00562159" w:rsidRPr="00B22F63">
        <w:rPr>
          <w:i/>
          <w:sz w:val="24"/>
          <w:szCs w:val="18"/>
          <w:lang w:val="fr-FR"/>
        </w:rPr>
        <w:t xml:space="preserve">telier de renforcement des </w:t>
      </w:r>
      <w:r w:rsidR="00ED0D4C" w:rsidRPr="00B22F63">
        <w:rPr>
          <w:i/>
          <w:sz w:val="24"/>
          <w:szCs w:val="18"/>
          <w:lang w:val="fr-FR"/>
        </w:rPr>
        <w:t xml:space="preserve">capacités des membres du Groupe </w:t>
      </w:r>
      <w:r w:rsidR="00562159" w:rsidRPr="00B22F63">
        <w:rPr>
          <w:i/>
          <w:sz w:val="24"/>
          <w:szCs w:val="18"/>
          <w:lang w:val="fr-FR"/>
        </w:rPr>
        <w:t>Multipartite.</w:t>
      </w:r>
    </w:p>
    <w:p w:rsidR="006B1C0A" w:rsidRPr="00DA3F19" w:rsidRDefault="006B1C0A" w:rsidP="00E314B7">
      <w:pPr>
        <w:pStyle w:val="Paragraphedeliste"/>
        <w:spacing w:after="0" w:line="240" w:lineRule="auto"/>
        <w:ind w:left="2127" w:right="1133" w:hanging="709"/>
        <w:rPr>
          <w:rFonts w:asciiTheme="minorHAnsi" w:eastAsia="Arial Unicode MS" w:hAnsiTheme="minorHAnsi" w:cs="Tahoma"/>
          <w:sz w:val="24"/>
          <w:szCs w:val="24"/>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1F1FAC" w:rsidRDefault="001F1FAC" w:rsidP="00431238">
      <w:pPr>
        <w:pStyle w:val="Paragraphedeliste"/>
        <w:spacing w:after="0"/>
        <w:ind w:left="1418"/>
        <w:rPr>
          <w:b/>
          <w:sz w:val="24"/>
          <w:szCs w:val="18"/>
          <w:lang w:val="fr-FR"/>
        </w:rPr>
      </w:pPr>
    </w:p>
    <w:p w:rsidR="001F1FAC" w:rsidRDefault="001F1FAC" w:rsidP="00431238">
      <w:pPr>
        <w:pStyle w:val="Paragraphedeliste"/>
        <w:spacing w:after="0"/>
        <w:ind w:left="1418"/>
        <w:rPr>
          <w:b/>
          <w:sz w:val="24"/>
          <w:szCs w:val="18"/>
          <w:lang w:val="fr-FR"/>
        </w:rPr>
      </w:pPr>
    </w:p>
    <w:p w:rsidR="001F1FAC" w:rsidRDefault="001F1FAC" w:rsidP="00431238">
      <w:pPr>
        <w:pStyle w:val="Paragraphedeliste"/>
        <w:spacing w:after="0"/>
        <w:ind w:left="1418"/>
        <w:rPr>
          <w:b/>
          <w:sz w:val="24"/>
          <w:szCs w:val="18"/>
          <w:lang w:val="fr-FR"/>
        </w:rPr>
      </w:pPr>
    </w:p>
    <w:p w:rsidR="001F1FAC" w:rsidRDefault="001F1FAC"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304AFF" w:rsidRDefault="00304AFF" w:rsidP="00431238">
      <w:pPr>
        <w:pStyle w:val="Paragraphedeliste"/>
        <w:spacing w:after="0"/>
        <w:ind w:left="1418"/>
        <w:rPr>
          <w:b/>
          <w:sz w:val="24"/>
          <w:szCs w:val="18"/>
          <w:lang w:val="fr-FR"/>
        </w:rPr>
      </w:pPr>
    </w:p>
    <w:p w:rsidR="00431238" w:rsidRDefault="00431238" w:rsidP="00431238">
      <w:pPr>
        <w:pStyle w:val="Paragraphedeliste"/>
        <w:spacing w:after="0"/>
        <w:ind w:left="1418"/>
        <w:rPr>
          <w:b/>
          <w:sz w:val="24"/>
          <w:szCs w:val="18"/>
          <w:lang w:val="fr-FR"/>
        </w:rPr>
      </w:pPr>
    </w:p>
    <w:p w:rsidR="00E448B5" w:rsidRPr="000371B6" w:rsidRDefault="006B1C0A" w:rsidP="00304AFF">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 xml:space="preserve">Document du CE 68-1-B </w:t>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t>Kinshasa, le 23 mars 2016</w:t>
      </w:r>
    </w:p>
    <w:p w:rsidR="00E448B5" w:rsidRPr="001C2230" w:rsidRDefault="006B1C0A" w:rsidP="0042077B">
      <w:pPr>
        <w:pStyle w:val="Titre1"/>
        <w:shd w:val="clear" w:color="auto" w:fill="00B0F0"/>
        <w:spacing w:before="0"/>
        <w:ind w:firstLine="1560"/>
        <w:jc w:val="center"/>
        <w:rPr>
          <w:rFonts w:asciiTheme="minorHAnsi" w:hAnsiTheme="minorHAnsi"/>
          <w:color w:val="auto"/>
          <w:lang w:eastAsia="fr-FR"/>
        </w:rPr>
      </w:pPr>
      <w:bookmarkStart w:id="2" w:name="_Toc488866103"/>
      <w:r w:rsidRPr="001C2230">
        <w:rPr>
          <w:rFonts w:asciiTheme="minorHAnsi" w:hAnsiTheme="minorHAnsi"/>
          <w:color w:val="auto"/>
          <w:lang w:eastAsia="fr-FR"/>
        </w:rPr>
        <w:t>Projet du PV  de la 67</w:t>
      </w:r>
      <w:r w:rsidR="00E448B5" w:rsidRPr="001C2230">
        <w:rPr>
          <w:rFonts w:asciiTheme="minorHAnsi" w:hAnsiTheme="minorHAnsi"/>
          <w:color w:val="auto"/>
          <w:vertAlign w:val="superscript"/>
          <w:lang w:eastAsia="fr-FR"/>
        </w:rPr>
        <w:t>e</w:t>
      </w:r>
      <w:r w:rsidR="00406336" w:rsidRPr="001C2230">
        <w:rPr>
          <w:rFonts w:asciiTheme="minorHAnsi" w:hAnsiTheme="minorHAnsi"/>
          <w:color w:val="auto"/>
          <w:lang w:eastAsia="fr-FR"/>
        </w:rPr>
        <w:t>réunion du</w:t>
      </w:r>
      <w:r w:rsidR="00CD34F1" w:rsidRPr="001C2230">
        <w:rPr>
          <w:rFonts w:asciiTheme="minorHAnsi" w:hAnsiTheme="minorHAnsi"/>
          <w:color w:val="auto"/>
          <w:lang w:eastAsia="fr-FR"/>
        </w:rPr>
        <w:t xml:space="preserve"> CE du 23 Décembre 2015</w:t>
      </w:r>
      <w:bookmarkEnd w:id="2"/>
    </w:p>
    <w:p w:rsidR="00E448B5" w:rsidRPr="00CB34EF" w:rsidRDefault="00E448B5" w:rsidP="0042077B">
      <w:pPr>
        <w:shd w:val="clear" w:color="auto" w:fill="00B0F0"/>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CD34F1" w:rsidRPr="00D45B5F" w:rsidRDefault="00CD34F1" w:rsidP="001F1FAC">
      <w:pPr>
        <w:widowControl w:val="0"/>
        <w:shd w:val="clear" w:color="auto" w:fill="FFFFFF"/>
        <w:tabs>
          <w:tab w:val="left" w:pos="851"/>
        </w:tabs>
        <w:autoSpaceDE w:val="0"/>
        <w:autoSpaceDN w:val="0"/>
        <w:adjustRightInd w:val="0"/>
        <w:spacing w:after="0" w:line="276" w:lineRule="auto"/>
        <w:ind w:left="851" w:right="10"/>
        <w:jc w:val="both"/>
        <w:rPr>
          <w:rFonts w:asciiTheme="minorHAnsi" w:hAnsiTheme="minorHAnsi" w:cs="Calibri"/>
          <w:color w:val="000000"/>
          <w:spacing w:val="4"/>
          <w:sz w:val="24"/>
          <w:szCs w:val="24"/>
        </w:rPr>
      </w:pPr>
      <w:r w:rsidRPr="00D45B5F">
        <w:rPr>
          <w:rFonts w:asciiTheme="minorHAnsi" w:hAnsiTheme="minorHAnsi" w:cs="Calibri"/>
          <w:b/>
          <w:sz w:val="24"/>
          <w:szCs w:val="24"/>
        </w:rPr>
        <w:t>Présidence</w:t>
      </w:r>
      <w:r w:rsidRPr="00D45B5F">
        <w:rPr>
          <w:rFonts w:asciiTheme="minorHAnsi" w:hAnsiTheme="minorHAnsi" w:cs="Calibri"/>
          <w:sz w:val="24"/>
          <w:szCs w:val="24"/>
        </w:rPr>
        <w:t xml:space="preserve"> : S.E </w:t>
      </w:r>
      <w:r w:rsidRPr="00D45B5F">
        <w:rPr>
          <w:rFonts w:asciiTheme="minorHAnsi" w:hAnsiTheme="minorHAnsi" w:cs="Calibri"/>
          <w:color w:val="000000"/>
          <w:spacing w:val="4"/>
          <w:sz w:val="24"/>
          <w:szCs w:val="24"/>
        </w:rPr>
        <w:t xml:space="preserve"> Georges WEMBI, Ministre du Plan et Président du C.E</w:t>
      </w:r>
    </w:p>
    <w:p w:rsidR="00CD34F1" w:rsidRPr="00D45B5F" w:rsidRDefault="00CD34F1" w:rsidP="001F1FAC">
      <w:pPr>
        <w:widowControl w:val="0"/>
        <w:shd w:val="clear" w:color="auto" w:fill="FFFFFF"/>
        <w:autoSpaceDE w:val="0"/>
        <w:autoSpaceDN w:val="0"/>
        <w:adjustRightInd w:val="0"/>
        <w:spacing w:after="0"/>
        <w:ind w:left="851" w:right="10"/>
        <w:jc w:val="both"/>
        <w:rPr>
          <w:rFonts w:asciiTheme="minorHAnsi" w:hAnsiTheme="minorHAnsi" w:cs="Calibri"/>
          <w:b/>
          <w:color w:val="000000"/>
          <w:spacing w:val="4"/>
          <w:sz w:val="24"/>
          <w:szCs w:val="24"/>
        </w:rPr>
      </w:pPr>
      <w:r w:rsidRPr="00D45B5F">
        <w:rPr>
          <w:rFonts w:asciiTheme="minorHAnsi" w:hAnsiTheme="minorHAnsi" w:cs="Calibri"/>
          <w:b/>
          <w:i/>
          <w:sz w:val="24"/>
          <w:szCs w:val="24"/>
        </w:rPr>
        <w:t>I. Présences :</w:t>
      </w:r>
      <w:r w:rsidRPr="00D45B5F">
        <w:rPr>
          <w:rFonts w:asciiTheme="minorHAnsi" w:hAnsiTheme="minorHAnsi" w:cs="Calibri"/>
          <w:b/>
          <w:color w:val="000000"/>
          <w:spacing w:val="4"/>
          <w:sz w:val="24"/>
          <w:szCs w:val="24"/>
          <w:u w:val="single"/>
        </w:rPr>
        <w:t xml:space="preserve"> Membres du Comité Exécutif présents</w:t>
      </w:r>
      <w:r w:rsidRPr="00D45B5F">
        <w:rPr>
          <w:rFonts w:asciiTheme="minorHAnsi" w:hAnsiTheme="minorHAnsi" w:cs="Calibri"/>
          <w:b/>
          <w:color w:val="000000"/>
          <w:spacing w:val="4"/>
          <w:sz w:val="24"/>
          <w:szCs w:val="24"/>
        </w:rPr>
        <w:t> :</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rPr>
        <w:sectPr w:rsidR="00CD34F1" w:rsidRPr="00D45B5F" w:rsidSect="00E50BD0">
          <w:headerReference w:type="default" r:id="rId9"/>
          <w:footerReference w:type="default" r:id="rId10"/>
          <w:pgSz w:w="11906" w:h="16838"/>
          <w:pgMar w:top="1417" w:right="0" w:bottom="1417" w:left="0" w:header="708" w:footer="708" w:gutter="0"/>
          <w:pgNumType w:start="0" w:chapStyle="1"/>
          <w:cols w:space="708"/>
          <w:titlePg/>
          <w:docGrid w:linePitch="360"/>
        </w:sectPr>
      </w:pP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r w:rsidRPr="00D45B5F">
        <w:rPr>
          <w:rFonts w:asciiTheme="minorHAnsi" w:hAnsiTheme="minorHAnsi" w:cs="Calibri"/>
          <w:sz w:val="24"/>
          <w:szCs w:val="24"/>
          <w:lang w:val="en-US"/>
        </w:rPr>
        <w:lastRenderedPageBreak/>
        <w:t xml:space="preserve">S.E </w:t>
      </w:r>
      <w:r w:rsidRPr="00D45B5F">
        <w:rPr>
          <w:rFonts w:asciiTheme="minorHAnsi" w:hAnsiTheme="minorHAnsi" w:cs="Calibri"/>
          <w:color w:val="000000"/>
          <w:spacing w:val="4"/>
          <w:sz w:val="24"/>
          <w:szCs w:val="24"/>
          <w:lang w:val="en-US"/>
        </w:rPr>
        <w:t>Georges WEMBI,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S.E. Martin KABWELULU,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S.E. Robert BOPOLO,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S.E. Henri YAV MULANG,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 Firmin KOTO,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 Désiré BALAZIRE,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lastRenderedPageBreak/>
        <w:t xml:space="preserve">M. KASSONGO Bin NASSOR, Entrep. </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  Albert KABUYA, OSC</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 xml:space="preserve">M. Jacques BAKULU, OSC </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  Joseph BOBIA, OSC</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 Jean Claude KATENDE, OSC</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M.IBOND RUPAS Anzam, OSC</w:t>
      </w:r>
    </w:p>
    <w:p w:rsidR="00CD34F1" w:rsidRPr="00D45B5F" w:rsidRDefault="00CD34F1" w:rsidP="00CD34F1">
      <w:pPr>
        <w:pStyle w:val="Paragraphedeliste"/>
        <w:widowControl w:val="0"/>
        <w:shd w:val="clear" w:color="auto" w:fill="FFFFFF"/>
        <w:tabs>
          <w:tab w:val="left" w:pos="426"/>
        </w:tabs>
        <w:autoSpaceDE w:val="0"/>
        <w:autoSpaceDN w:val="0"/>
        <w:adjustRightInd w:val="0"/>
        <w:spacing w:after="0"/>
        <w:ind w:left="644" w:right="10"/>
        <w:jc w:val="both"/>
        <w:rPr>
          <w:rFonts w:asciiTheme="minorHAnsi" w:hAnsiTheme="minorHAnsi" w:cs="Calibri"/>
          <w:color w:val="000000"/>
          <w:spacing w:val="4"/>
          <w:sz w:val="24"/>
          <w:szCs w:val="24"/>
        </w:rPr>
        <w:sectPr w:rsidR="00CD34F1" w:rsidRPr="00D45B5F" w:rsidSect="00687FA2">
          <w:type w:val="continuous"/>
          <w:pgSz w:w="11906" w:h="16838"/>
          <w:pgMar w:top="1417" w:right="1417" w:bottom="1417" w:left="1417" w:header="708" w:footer="708" w:gutter="0"/>
          <w:cols w:num="2" w:space="286"/>
          <w:docGrid w:linePitch="360"/>
        </w:sectPr>
      </w:pPr>
    </w:p>
    <w:p w:rsidR="00CD34F1" w:rsidRPr="00D45B5F" w:rsidRDefault="00CD34F1" w:rsidP="00CD34F1">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b/>
          <w:color w:val="000000"/>
          <w:spacing w:val="4"/>
          <w:sz w:val="24"/>
          <w:szCs w:val="24"/>
          <w:u w:val="single"/>
        </w:rPr>
      </w:pPr>
      <w:r w:rsidRPr="00D45B5F">
        <w:rPr>
          <w:rFonts w:asciiTheme="minorHAnsi" w:hAnsiTheme="minorHAnsi" w:cs="Calibri"/>
          <w:b/>
          <w:color w:val="000000"/>
          <w:spacing w:val="4"/>
          <w:sz w:val="24"/>
          <w:szCs w:val="24"/>
          <w:u w:val="single"/>
        </w:rPr>
        <w:lastRenderedPageBreak/>
        <w:t>Membre ayant donné mandat</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D45B5F">
        <w:rPr>
          <w:rFonts w:asciiTheme="minorHAnsi" w:hAnsiTheme="minorHAnsi" w:cs="Calibri"/>
          <w:color w:val="000000"/>
          <w:spacing w:val="4"/>
          <w:sz w:val="24"/>
          <w:szCs w:val="24"/>
        </w:rPr>
        <w:t>M. Simon TUMAWAKU (Entreprises) à M. KASSONGO Bin NASSOR</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D45B5F">
        <w:rPr>
          <w:rFonts w:asciiTheme="minorHAnsi" w:hAnsiTheme="minorHAnsi" w:cs="Calibri"/>
          <w:color w:val="000000"/>
          <w:spacing w:val="4"/>
          <w:sz w:val="24"/>
          <w:szCs w:val="24"/>
        </w:rPr>
        <w:t xml:space="preserve">Mme. Ivonne MBALA (Entreprises) à M. KASSONGO Bin NASSOR </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D45B5F">
        <w:rPr>
          <w:rFonts w:asciiTheme="minorHAnsi" w:hAnsiTheme="minorHAnsi" w:cs="Calibri"/>
          <w:color w:val="000000"/>
          <w:spacing w:val="4"/>
          <w:sz w:val="24"/>
          <w:szCs w:val="24"/>
        </w:rPr>
        <w:t>M. Robert MUNGANGA (Entreprises) à M. KASSONGO Bin NASSOR</w:t>
      </w:r>
    </w:p>
    <w:p w:rsidR="00CD34F1" w:rsidRPr="00D45B5F" w:rsidRDefault="00CD34F1" w:rsidP="00CD34F1">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b/>
          <w:color w:val="000000"/>
          <w:spacing w:val="4"/>
          <w:sz w:val="24"/>
          <w:szCs w:val="24"/>
          <w:u w:val="single"/>
        </w:rPr>
      </w:pPr>
      <w:r w:rsidRPr="00D45B5F">
        <w:rPr>
          <w:rFonts w:asciiTheme="minorHAnsi" w:hAnsiTheme="minorHAnsi" w:cs="Calibri"/>
          <w:b/>
          <w:color w:val="000000"/>
          <w:spacing w:val="4"/>
          <w:sz w:val="24"/>
          <w:szCs w:val="24"/>
          <w:u w:val="single"/>
        </w:rPr>
        <w:t xml:space="preserve">Membres du Comité Exécutif empêchés </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rPr>
        <w:sectPr w:rsidR="00CD34F1" w:rsidRPr="00D45B5F" w:rsidSect="00687FA2">
          <w:type w:val="continuous"/>
          <w:pgSz w:w="11906" w:h="16838"/>
          <w:pgMar w:top="1417" w:right="1417" w:bottom="1417" w:left="1417" w:header="708" w:footer="708" w:gutter="0"/>
          <w:cols w:space="708"/>
          <w:docGrid w:linePitch="360"/>
        </w:sectPr>
      </w:pP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pPr>
      <w:r w:rsidRPr="00D45B5F">
        <w:rPr>
          <w:rFonts w:asciiTheme="minorHAnsi" w:hAnsiTheme="minorHAnsi" w:cs="Calibri"/>
          <w:color w:val="000000"/>
          <w:spacing w:val="4"/>
          <w:sz w:val="24"/>
          <w:szCs w:val="24"/>
        </w:rPr>
        <w:lastRenderedPageBreak/>
        <w:t>S.E Aimé NGOY MUKENA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pPr>
      <w:r w:rsidRPr="00D45B5F">
        <w:rPr>
          <w:rFonts w:asciiTheme="minorHAnsi" w:hAnsiTheme="minorHAnsi" w:cs="Calibri"/>
          <w:color w:val="000000"/>
          <w:spacing w:val="4"/>
          <w:sz w:val="24"/>
          <w:szCs w:val="24"/>
        </w:rPr>
        <w:t>S.E Ernestine NYOKA 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pPr>
      <w:r w:rsidRPr="00D45B5F">
        <w:rPr>
          <w:rFonts w:asciiTheme="minorHAnsi" w:hAnsiTheme="minorHAnsi" w:cs="Calibri"/>
          <w:sz w:val="24"/>
          <w:szCs w:val="24"/>
          <w:lang w:val="en-US"/>
        </w:rPr>
        <w:t xml:space="preserve">M. Vincent NGONGA, DIRCABA P.M. </w:t>
      </w:r>
      <w:r w:rsidRPr="00D45B5F">
        <w:rPr>
          <w:rFonts w:asciiTheme="minorHAnsi" w:hAnsiTheme="minorHAnsi" w:cs="Calibri"/>
          <w:color w:val="000000"/>
          <w:spacing w:val="4"/>
          <w:sz w:val="24"/>
          <w:szCs w:val="24"/>
        </w:rPr>
        <w:t>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r w:rsidRPr="00D45B5F">
        <w:rPr>
          <w:rFonts w:asciiTheme="minorHAnsi" w:hAnsiTheme="minorHAnsi" w:cs="Calibri"/>
          <w:color w:val="000000"/>
          <w:spacing w:val="4"/>
          <w:sz w:val="24"/>
          <w:szCs w:val="24"/>
          <w:lang w:val="en-US"/>
        </w:rPr>
        <w:t xml:space="preserve">M. John BUPILA, </w:t>
      </w:r>
      <w:r w:rsidRPr="00D45B5F">
        <w:rPr>
          <w:rFonts w:asciiTheme="minorHAnsi" w:hAnsiTheme="minorHAnsi" w:cs="Calibri"/>
          <w:sz w:val="24"/>
          <w:szCs w:val="24"/>
          <w:lang w:val="en-US"/>
        </w:rPr>
        <w:t xml:space="preserve">DIRCABA P.M. </w:t>
      </w:r>
      <w:r w:rsidRPr="00D45B5F">
        <w:rPr>
          <w:rFonts w:asciiTheme="minorHAnsi" w:hAnsiTheme="minorHAnsi" w:cs="Calibri"/>
          <w:color w:val="000000"/>
          <w:spacing w:val="4"/>
          <w:sz w:val="24"/>
          <w:szCs w:val="24"/>
          <w:lang w:val="en-US"/>
        </w:rPr>
        <w:t>Gouv.</w:t>
      </w:r>
    </w:p>
    <w:p w:rsidR="00CD34F1" w:rsidRPr="00D45B5F" w:rsidRDefault="00CD34F1" w:rsidP="00C7360A">
      <w:pPr>
        <w:pStyle w:val="Paragraphedeliste"/>
        <w:widowControl w:val="0"/>
        <w:numPr>
          <w:ilvl w:val="0"/>
          <w:numId w:val="7"/>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Hon. NKONGO BUDINA, Sénat</w:t>
      </w:r>
    </w:p>
    <w:p w:rsidR="00CD34F1" w:rsidRPr="00D45B5F" w:rsidRDefault="00CD34F1" w:rsidP="00CD34F1">
      <w:pPr>
        <w:widowControl w:val="0"/>
        <w:shd w:val="clear" w:color="auto" w:fill="FFFFFF"/>
        <w:tabs>
          <w:tab w:val="left" w:pos="426"/>
        </w:tabs>
        <w:autoSpaceDE w:val="0"/>
        <w:autoSpaceDN w:val="0"/>
        <w:adjustRightInd w:val="0"/>
        <w:spacing w:after="0" w:line="276" w:lineRule="auto"/>
        <w:ind w:left="284" w:right="10"/>
        <w:jc w:val="both"/>
        <w:rPr>
          <w:rFonts w:asciiTheme="minorHAnsi" w:hAnsiTheme="minorHAnsi" w:cs="Calibri"/>
          <w:color w:val="000000"/>
          <w:spacing w:val="4"/>
          <w:sz w:val="24"/>
          <w:szCs w:val="24"/>
        </w:rPr>
        <w:sectPr w:rsidR="00CD34F1" w:rsidRPr="00D45B5F" w:rsidSect="00687FA2">
          <w:type w:val="continuous"/>
          <w:pgSz w:w="11906" w:h="16838"/>
          <w:pgMar w:top="1417" w:right="1417" w:bottom="1417" w:left="1417" w:header="708" w:footer="708" w:gutter="0"/>
          <w:cols w:space="708"/>
          <w:docGrid w:linePitch="360"/>
        </w:sectPr>
      </w:pPr>
    </w:p>
    <w:p w:rsidR="00CD34F1" w:rsidRPr="00D45B5F" w:rsidRDefault="00CD34F1" w:rsidP="00CD34F1">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b/>
          <w:color w:val="000000"/>
          <w:spacing w:val="4"/>
          <w:sz w:val="24"/>
          <w:szCs w:val="24"/>
          <w:u w:val="single"/>
        </w:rPr>
      </w:pPr>
      <w:r w:rsidRPr="00D45B5F">
        <w:rPr>
          <w:rFonts w:asciiTheme="minorHAnsi" w:hAnsiTheme="minorHAnsi" w:cs="Calibri"/>
          <w:b/>
          <w:color w:val="000000"/>
          <w:spacing w:val="4"/>
          <w:sz w:val="24"/>
          <w:szCs w:val="24"/>
          <w:u w:val="single"/>
        </w:rPr>
        <w:lastRenderedPageBreak/>
        <w:t>Partenaires</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sectPr w:rsidR="00CD34F1" w:rsidRPr="00D45B5F" w:rsidSect="00687FA2">
          <w:type w:val="continuous"/>
          <w:pgSz w:w="11906" w:h="16838"/>
          <w:pgMar w:top="1417" w:right="1417" w:bottom="1417" w:left="1417" w:header="708" w:footer="708" w:gutter="0"/>
          <w:cols w:space="708"/>
          <w:docGrid w:linePitch="360"/>
        </w:sectPr>
      </w:pP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lastRenderedPageBreak/>
        <w:t>Dieudonné LOKADI M., DG DGI</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Donat KAMPATA,  Coordon CTCPM</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Roger SHULUNGU, DG INS</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Joséphine SWALEHE, DG DGRAD</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Carol LUTALADIO, DGA DGDA</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 xml:space="preserve"> Victor BATUBENGA, (IGF)</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Liliane KAYUMBA, DG COHYDRO</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Félicien MULENDA, Coord CTR</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pPr>
      <w:r w:rsidRPr="00D45B5F">
        <w:rPr>
          <w:rFonts w:asciiTheme="minorHAnsi" w:hAnsiTheme="minorHAnsi" w:cs="Calibri"/>
          <w:color w:val="000000"/>
          <w:spacing w:val="4"/>
          <w:sz w:val="24"/>
          <w:szCs w:val="24"/>
        </w:rPr>
        <w:t>Eddy N’sa, Expert EDD</w:t>
      </w:r>
    </w:p>
    <w:p w:rsidR="00CD34F1" w:rsidRPr="00D45B5F" w:rsidRDefault="00CD34F1" w:rsidP="00C7360A">
      <w:pPr>
        <w:pStyle w:val="Paragraphedeliste"/>
        <w:widowControl w:val="0"/>
        <w:numPr>
          <w:ilvl w:val="0"/>
          <w:numId w:val="8"/>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sectPr w:rsidR="00CD34F1" w:rsidRPr="00D45B5F" w:rsidSect="00687FA2">
          <w:type w:val="continuous"/>
          <w:pgSz w:w="11906" w:h="16838"/>
          <w:pgMar w:top="1417" w:right="1417" w:bottom="1417" w:left="1417" w:header="708" w:footer="708" w:gutter="0"/>
          <w:cols w:num="2" w:space="708"/>
          <w:docGrid w:linePitch="360"/>
        </w:sectPr>
      </w:pPr>
    </w:p>
    <w:p w:rsidR="00CD34F1" w:rsidRPr="00D45B5F" w:rsidRDefault="00CD34F1" w:rsidP="00CD34F1">
      <w:pPr>
        <w:jc w:val="both"/>
        <w:rPr>
          <w:rFonts w:asciiTheme="minorHAnsi" w:hAnsiTheme="minorHAnsi" w:cs="Calibri"/>
          <w:b/>
          <w:i/>
          <w:sz w:val="24"/>
          <w:szCs w:val="24"/>
        </w:rPr>
      </w:pPr>
      <w:r w:rsidRPr="00D45B5F">
        <w:rPr>
          <w:rFonts w:asciiTheme="minorHAnsi" w:hAnsiTheme="minorHAnsi" w:cs="Calibri"/>
          <w:b/>
          <w:i/>
          <w:sz w:val="24"/>
          <w:szCs w:val="24"/>
        </w:rPr>
        <w:lastRenderedPageBreak/>
        <w:t>II. QUORUM :</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Douze membres sont présents dont  six (06) de la composante Gouvernement, cinq (05) de la composante Société Civile  et un (01) membre de la composante Entreprise qui a reçu mandat des autres membres du collège. Six (06) membres sont absents. Le CE a valablement siégé.</w:t>
      </w:r>
    </w:p>
    <w:p w:rsidR="00CD34F1" w:rsidRPr="00D45B5F" w:rsidRDefault="00CD34F1" w:rsidP="00CD34F1">
      <w:pPr>
        <w:jc w:val="both"/>
        <w:rPr>
          <w:rFonts w:asciiTheme="minorHAnsi" w:hAnsiTheme="minorHAnsi" w:cs="Calibri"/>
          <w:b/>
          <w:i/>
          <w:sz w:val="24"/>
          <w:szCs w:val="24"/>
        </w:rPr>
      </w:pPr>
      <w:r w:rsidRPr="00D45B5F">
        <w:rPr>
          <w:rFonts w:asciiTheme="minorHAnsi" w:hAnsiTheme="minorHAnsi" w:cs="Calibri"/>
          <w:b/>
          <w:i/>
          <w:sz w:val="24"/>
          <w:szCs w:val="24"/>
        </w:rPr>
        <w:t>III. DEROULEMENT DE LA REUNION</w:t>
      </w:r>
    </w:p>
    <w:p w:rsidR="00CD34F1" w:rsidRPr="00D45B5F" w:rsidRDefault="00CD34F1" w:rsidP="00CD34F1">
      <w:pPr>
        <w:jc w:val="both"/>
        <w:rPr>
          <w:rFonts w:asciiTheme="minorHAnsi" w:hAnsiTheme="minorHAnsi" w:cs="Calibri"/>
          <w:b/>
          <w:sz w:val="24"/>
          <w:szCs w:val="24"/>
        </w:rPr>
      </w:pPr>
      <w:r w:rsidRPr="00D45B5F">
        <w:rPr>
          <w:rFonts w:asciiTheme="minorHAnsi" w:hAnsiTheme="minorHAnsi" w:cs="Calibri"/>
          <w:b/>
          <w:sz w:val="24"/>
          <w:szCs w:val="24"/>
        </w:rPr>
        <w:t>Information :</w:t>
      </w:r>
      <w:r w:rsidRPr="00D45B5F">
        <w:rPr>
          <w:rFonts w:asciiTheme="minorHAnsi" w:hAnsiTheme="minorHAnsi" w:cs="Calibri"/>
          <w:sz w:val="24"/>
          <w:szCs w:val="24"/>
        </w:rPr>
        <w:t xml:space="preserve"> Les membres ont été informés que les entreprises forestières ont désigné monsieur  José MINGA’S de la FIB comme leur représentant au Comité Exécutif en remplacement de madame VAN de VEN mutée à l’étranger</w:t>
      </w:r>
      <w:r w:rsidRPr="00D45B5F">
        <w:rPr>
          <w:rFonts w:asciiTheme="minorHAnsi" w:hAnsiTheme="minorHAnsi" w:cs="Calibri"/>
          <w:b/>
          <w:sz w:val="24"/>
          <w:szCs w:val="24"/>
        </w:rPr>
        <w:t xml:space="preserve">. </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Les membres ont pris acte de cette désignation et ont souhaité la bienvenue au nouveau membre</w:t>
      </w:r>
      <w:r w:rsidRPr="00D45B5F">
        <w:rPr>
          <w:rFonts w:asciiTheme="minorHAnsi" w:hAnsiTheme="minorHAnsi" w:cs="Calibri"/>
          <w:b/>
          <w:sz w:val="24"/>
          <w:szCs w:val="24"/>
        </w:rPr>
        <w:t>.</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 xml:space="preserve">Adoption du document de travail N° 1: </w:t>
      </w:r>
      <w:r w:rsidRPr="00D45B5F">
        <w:rPr>
          <w:rFonts w:asciiTheme="minorHAnsi" w:hAnsiTheme="minorHAnsi" w:cs="Calibri"/>
          <w:b/>
          <w:i/>
          <w:sz w:val="24"/>
          <w:szCs w:val="24"/>
          <w:u w:val="single"/>
        </w:rPr>
        <w:t xml:space="preserve">ORDRE DU  JOUR  </w:t>
      </w:r>
      <w:r w:rsidRPr="00D45B5F">
        <w:rPr>
          <w:rFonts w:asciiTheme="minorHAnsi" w:hAnsiTheme="minorHAnsi" w:cs="Calibri"/>
          <w:b/>
          <w:sz w:val="24"/>
          <w:szCs w:val="24"/>
          <w:u w:val="single"/>
        </w:rPr>
        <w:t>DE LA REUNION</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Après débat et adoption du PV du 4 novembre 2015 (</w:t>
      </w:r>
      <w:r w:rsidR="00E81769">
        <w:rPr>
          <w:rFonts w:asciiTheme="minorHAnsi" w:hAnsiTheme="minorHAnsi" w:cs="Tahoma"/>
          <w:sz w:val="24"/>
          <w:szCs w:val="24"/>
        </w:rPr>
        <w:t>document  de travail N°2</w:t>
      </w:r>
      <w:r w:rsidRPr="00D45B5F">
        <w:rPr>
          <w:rFonts w:asciiTheme="minorHAnsi" w:hAnsiTheme="minorHAnsi" w:cs="Tahoma"/>
          <w:sz w:val="24"/>
          <w:szCs w:val="24"/>
        </w:rPr>
        <w:t>)</w:t>
      </w:r>
      <w:r w:rsidRPr="00D45B5F">
        <w:rPr>
          <w:rFonts w:asciiTheme="minorHAnsi" w:hAnsiTheme="minorHAnsi" w:cs="Calibri"/>
          <w:sz w:val="24"/>
          <w:szCs w:val="24"/>
        </w:rPr>
        <w:t>, l’Ordre du jour suivant  a été adopté :</w:t>
      </w:r>
    </w:p>
    <w:p w:rsidR="00CD34F1" w:rsidRPr="00D45B5F" w:rsidRDefault="00CD34F1" w:rsidP="00C7360A">
      <w:pPr>
        <w:pStyle w:val="Paragraphedeliste"/>
        <w:numPr>
          <w:ilvl w:val="0"/>
          <w:numId w:val="6"/>
        </w:numPr>
        <w:jc w:val="both"/>
        <w:rPr>
          <w:rFonts w:asciiTheme="minorHAnsi" w:hAnsiTheme="minorHAnsi" w:cs="Calibri"/>
          <w:sz w:val="24"/>
          <w:szCs w:val="24"/>
        </w:rPr>
      </w:pPr>
      <w:r w:rsidRPr="00D45B5F">
        <w:rPr>
          <w:rFonts w:asciiTheme="minorHAnsi" w:hAnsiTheme="minorHAnsi" w:cs="Calibri"/>
          <w:sz w:val="24"/>
          <w:szCs w:val="24"/>
        </w:rPr>
        <w:t>Présentation  du Rapport d’avancement de la mise en œuvre par le CN de l’ITIE-RDC et,</w:t>
      </w:r>
    </w:p>
    <w:p w:rsidR="00CD34F1" w:rsidRPr="00D45B5F" w:rsidRDefault="00CD34F1" w:rsidP="00C7360A">
      <w:pPr>
        <w:pStyle w:val="Paragraphedeliste"/>
        <w:numPr>
          <w:ilvl w:val="0"/>
          <w:numId w:val="6"/>
        </w:numPr>
        <w:jc w:val="both"/>
        <w:rPr>
          <w:rFonts w:asciiTheme="minorHAnsi" w:hAnsiTheme="minorHAnsi" w:cs="Calibri"/>
          <w:sz w:val="24"/>
          <w:szCs w:val="24"/>
        </w:rPr>
      </w:pPr>
      <w:r w:rsidRPr="00D45B5F">
        <w:rPr>
          <w:rFonts w:asciiTheme="minorHAnsi" w:hAnsiTheme="minorHAnsi" w:cs="Calibri"/>
          <w:sz w:val="24"/>
          <w:szCs w:val="24"/>
        </w:rPr>
        <w:t>Présentation pour adoption du Rapport ITIE-RDC 2014 par l’Administrateur Indépendant, Moore Stephens.</w:t>
      </w:r>
    </w:p>
    <w:p w:rsidR="00CD34F1" w:rsidRPr="00D45B5F" w:rsidRDefault="00CD34F1" w:rsidP="00CD34F1">
      <w:pPr>
        <w:ind w:left="5387" w:hanging="5387"/>
        <w:jc w:val="both"/>
        <w:rPr>
          <w:rFonts w:asciiTheme="minorHAnsi" w:hAnsiTheme="minorHAnsi" w:cs="Calibri"/>
          <w:sz w:val="24"/>
          <w:szCs w:val="24"/>
        </w:rPr>
      </w:pPr>
      <w:r w:rsidRPr="00D45B5F">
        <w:rPr>
          <w:rFonts w:asciiTheme="minorHAnsi" w:hAnsiTheme="minorHAnsi" w:cs="Calibri"/>
          <w:b/>
          <w:sz w:val="24"/>
          <w:szCs w:val="24"/>
        </w:rPr>
        <w:t>IV.1</w:t>
      </w:r>
      <w:r w:rsidRPr="00D45B5F">
        <w:rPr>
          <w:rFonts w:asciiTheme="minorHAnsi" w:hAnsiTheme="minorHAnsi" w:cs="Calibri"/>
          <w:sz w:val="24"/>
          <w:szCs w:val="24"/>
        </w:rPr>
        <w:t xml:space="preserve">. Examen pour adoption du document de travail N° 3 : </w:t>
      </w:r>
    </w:p>
    <w:p w:rsidR="00CD34F1" w:rsidRPr="00D45B5F" w:rsidRDefault="00CD34F1" w:rsidP="00CD34F1">
      <w:pPr>
        <w:ind w:left="5387" w:hanging="5387"/>
        <w:jc w:val="both"/>
        <w:rPr>
          <w:rFonts w:asciiTheme="minorHAnsi" w:hAnsiTheme="minorHAnsi" w:cs="Calibri"/>
          <w:b/>
          <w:sz w:val="24"/>
          <w:szCs w:val="24"/>
          <w:u w:val="single"/>
        </w:rPr>
      </w:pPr>
      <w:r w:rsidRPr="00D45B5F">
        <w:rPr>
          <w:rFonts w:asciiTheme="minorHAnsi" w:hAnsiTheme="minorHAnsi" w:cs="Calibri"/>
          <w:b/>
          <w:sz w:val="24"/>
          <w:szCs w:val="24"/>
          <w:u w:val="single"/>
        </w:rPr>
        <w:t>RAPPORT D’AVANCEMENT DE LA MISE EN ŒUVRE.</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 xml:space="preserve">Cet important document  a été présenté par le CN. Il reprend les activités de mise en œuvre tirées du PT accomplies  par les parties prenantes du 4 novembre au 23 décembre 2015. </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Ce sont des  activités  qui ont été exécutées en rapport avec  l’élaboration du Rapport ITIE 2014, la communication et le débat public, le renforcement des capacités, la participation à différentes rencontres, divers forums et  réunions techniques et enfin, celles visant à améliorer la Gouvernance de l’ITIE-RDC.</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Les membres ont apprécié le document  et se sont déclarés satisfaits de la hauteur des activités accomplies.</w:t>
      </w:r>
    </w:p>
    <w:p w:rsidR="00CD34F1" w:rsidRPr="00D45B5F" w:rsidRDefault="00CD34F1" w:rsidP="00CD34F1">
      <w:pPr>
        <w:ind w:left="1418" w:hanging="1418"/>
        <w:jc w:val="both"/>
        <w:rPr>
          <w:rFonts w:asciiTheme="minorHAnsi" w:hAnsiTheme="minorHAnsi" w:cs="Calibri"/>
          <w:sz w:val="24"/>
          <w:szCs w:val="24"/>
        </w:rPr>
      </w:pPr>
      <w:r w:rsidRPr="00D45B5F">
        <w:rPr>
          <w:rFonts w:asciiTheme="minorHAnsi" w:hAnsiTheme="minorHAnsi" w:cs="Calibri"/>
          <w:b/>
          <w:sz w:val="24"/>
          <w:szCs w:val="24"/>
        </w:rPr>
        <w:t>Délibération</w:t>
      </w:r>
      <w:r w:rsidRPr="00D45B5F">
        <w:rPr>
          <w:rFonts w:asciiTheme="minorHAnsi" w:hAnsiTheme="minorHAnsi" w:cs="Calibri"/>
          <w:sz w:val="24"/>
          <w:szCs w:val="24"/>
        </w:rPr>
        <w:t xml:space="preserve"> : </w:t>
      </w:r>
      <w:r w:rsidRPr="00D45B5F">
        <w:rPr>
          <w:rFonts w:asciiTheme="minorHAnsi" w:hAnsiTheme="minorHAnsi" w:cs="Calibri"/>
          <w:b/>
          <w:i/>
          <w:sz w:val="24"/>
          <w:szCs w:val="24"/>
          <w:shd w:val="clear" w:color="auto" w:fill="E7E6E6" w:themeFill="background2"/>
        </w:rPr>
        <w:t>Le rapport d’avancement de la mise en œuvre pour la période du 4 novembre au 23 décembre  2015 est adopté</w:t>
      </w:r>
      <w:r w:rsidRPr="00D45B5F">
        <w:rPr>
          <w:rFonts w:asciiTheme="minorHAnsi" w:hAnsiTheme="minorHAnsi" w:cs="Calibri"/>
          <w:sz w:val="24"/>
          <w:szCs w:val="24"/>
        </w:rPr>
        <w:t>.</w:t>
      </w:r>
    </w:p>
    <w:p w:rsidR="00CD34F1" w:rsidRPr="00D45B5F" w:rsidRDefault="00CD34F1" w:rsidP="00CD34F1">
      <w:pPr>
        <w:jc w:val="both"/>
        <w:rPr>
          <w:rFonts w:asciiTheme="minorHAnsi" w:hAnsiTheme="minorHAnsi" w:cs="Calibri"/>
          <w:b/>
          <w:sz w:val="24"/>
          <w:szCs w:val="24"/>
          <w:u w:val="single"/>
        </w:rPr>
      </w:pPr>
      <w:r w:rsidRPr="00D45B5F">
        <w:rPr>
          <w:rFonts w:asciiTheme="minorHAnsi" w:hAnsiTheme="minorHAnsi" w:cs="Calibri"/>
          <w:b/>
          <w:sz w:val="24"/>
          <w:szCs w:val="24"/>
        </w:rPr>
        <w:t xml:space="preserve">IV.2. </w:t>
      </w:r>
      <w:r w:rsidRPr="00D45B5F">
        <w:rPr>
          <w:rFonts w:asciiTheme="minorHAnsi" w:hAnsiTheme="minorHAnsi" w:cs="Calibri"/>
          <w:b/>
          <w:sz w:val="24"/>
          <w:szCs w:val="24"/>
          <w:u w:val="single"/>
        </w:rPr>
        <w:t xml:space="preserve">PRESENTATION POUR ADOPTION DU RAPPORT ITIE-RDC 2014 </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b/>
          <w:sz w:val="24"/>
          <w:szCs w:val="24"/>
        </w:rPr>
        <w:t>Par l’Administrateur Indépendant.</w:t>
      </w:r>
      <w:r w:rsidRPr="00D45B5F">
        <w:rPr>
          <w:rFonts w:asciiTheme="minorHAnsi" w:hAnsiTheme="minorHAnsi" w:cs="Calibri"/>
          <w:sz w:val="24"/>
          <w:szCs w:val="24"/>
        </w:rPr>
        <w:t xml:space="preserve"> (Voir documents de travail N°4 &amp;5)</w:t>
      </w:r>
    </w:p>
    <w:p w:rsidR="00CD34F1" w:rsidRPr="00D45B5F" w:rsidRDefault="00CD34F1" w:rsidP="00C7360A">
      <w:pPr>
        <w:pStyle w:val="Paragraphedeliste"/>
        <w:numPr>
          <w:ilvl w:val="0"/>
          <w:numId w:val="9"/>
        </w:numPr>
        <w:spacing w:after="0"/>
        <w:ind w:left="426"/>
        <w:jc w:val="both"/>
        <w:rPr>
          <w:rFonts w:asciiTheme="minorHAnsi" w:hAnsiTheme="minorHAnsi" w:cs="Calibri"/>
          <w:b/>
          <w:sz w:val="24"/>
          <w:szCs w:val="24"/>
        </w:rPr>
      </w:pPr>
      <w:r w:rsidRPr="00D45B5F">
        <w:rPr>
          <w:rFonts w:asciiTheme="minorHAnsi" w:hAnsiTheme="minorHAnsi" w:cs="Calibri"/>
          <w:b/>
          <w:sz w:val="24"/>
          <w:szCs w:val="24"/>
        </w:rPr>
        <w:t>Exposé.</w:t>
      </w:r>
    </w:p>
    <w:p w:rsidR="001D6149" w:rsidRDefault="00CD34F1" w:rsidP="00CD34F1">
      <w:pPr>
        <w:pStyle w:val="Paragraphedeliste"/>
        <w:ind w:left="0"/>
        <w:jc w:val="both"/>
        <w:rPr>
          <w:rFonts w:asciiTheme="minorHAnsi" w:hAnsiTheme="minorHAnsi" w:cs="Calibri"/>
          <w:sz w:val="24"/>
          <w:szCs w:val="24"/>
        </w:rPr>
      </w:pPr>
      <w:r w:rsidRPr="00D45B5F">
        <w:rPr>
          <w:rFonts w:asciiTheme="minorHAnsi" w:hAnsiTheme="minorHAnsi" w:cs="Calibri"/>
          <w:sz w:val="24"/>
          <w:szCs w:val="24"/>
        </w:rPr>
        <w:t xml:space="preserve">La version pré-finale du  rapport  avait été soumise aux parties prenantes (PP) pour revue et améliorations au cours de l’atelier organisé à cet effet à Lubumbashi le 15 décembre 2015 en présence de quelques membres du CE. Les améliorations collectées ont  ensuite  été </w:t>
      </w:r>
      <w:r w:rsidRPr="00D45B5F">
        <w:rPr>
          <w:rFonts w:asciiTheme="minorHAnsi" w:hAnsiTheme="minorHAnsi" w:cs="Calibri"/>
          <w:sz w:val="24"/>
          <w:szCs w:val="24"/>
        </w:rPr>
        <w:lastRenderedPageBreak/>
        <w:t>compilées dans un tableau synthèse d’intégration des améliorations (cfr document N° 4) et envoyées à l’Administrateur Indépendant pour prise en compte dans le Rapport final. Certaines de ces améliorations sont d’ordre général et d’autres  se rapportent au  Périmètre et  à l’exhaustivité, la déségrégation des données et à certaines données contextuelles, particulièrement le cadre légal, les transferts infranationaux,  la propriété réelle, la production et les exportations. C’est donc une version contenant toutes les améliorations des parties prenantes qui a été présentée par l’Administrateur Indépendant au Comité Exécutif pour adoption.</w:t>
      </w:r>
    </w:p>
    <w:p w:rsidR="00CD34F1" w:rsidRPr="00D45B5F" w:rsidRDefault="00CD34F1" w:rsidP="00CD34F1">
      <w:pPr>
        <w:pStyle w:val="Paragraphedeliste"/>
        <w:ind w:left="0"/>
        <w:jc w:val="both"/>
        <w:rPr>
          <w:rFonts w:asciiTheme="minorHAnsi" w:hAnsiTheme="minorHAnsi" w:cs="Calibri"/>
          <w:sz w:val="24"/>
          <w:szCs w:val="24"/>
        </w:rPr>
      </w:pPr>
    </w:p>
    <w:p w:rsidR="00CD34F1" w:rsidRPr="00D45B5F" w:rsidRDefault="00CD34F1" w:rsidP="001D6149">
      <w:pPr>
        <w:pStyle w:val="Paragraphedeliste"/>
        <w:spacing w:before="240"/>
        <w:ind w:left="0"/>
        <w:jc w:val="both"/>
        <w:rPr>
          <w:rFonts w:asciiTheme="minorHAnsi" w:hAnsiTheme="minorHAnsi" w:cs="Calibri"/>
          <w:sz w:val="24"/>
          <w:szCs w:val="24"/>
        </w:rPr>
      </w:pPr>
      <w:r w:rsidRPr="00D45B5F">
        <w:rPr>
          <w:rFonts w:asciiTheme="minorHAnsi" w:hAnsiTheme="minorHAnsi" w:cs="Calibri"/>
          <w:sz w:val="24"/>
          <w:szCs w:val="24"/>
        </w:rPr>
        <w:t>L’A.I. est systématiquement revenu sur les points suivants :</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 xml:space="preserve">a) </w:t>
      </w:r>
      <w:r w:rsidRPr="00D45B5F">
        <w:rPr>
          <w:rFonts w:asciiTheme="minorHAnsi" w:hAnsiTheme="minorHAnsi" w:cs="Calibri"/>
          <w:b/>
          <w:sz w:val="24"/>
          <w:szCs w:val="24"/>
        </w:rPr>
        <w:t>Périmètre ITIE 2014 :</w:t>
      </w:r>
      <w:r w:rsidRPr="00D45B5F">
        <w:rPr>
          <w:rFonts w:asciiTheme="minorHAnsi" w:hAnsiTheme="minorHAnsi" w:cs="Calibri"/>
          <w:sz w:val="24"/>
          <w:szCs w:val="24"/>
        </w:rPr>
        <w:t xml:space="preserve"> 117 Entreprises dont 12 pétrolières et 105 minières. Taux de couverture de la conciliation : 100% pour les pétroliers  et 99,53%  pour les miniers. </w:t>
      </w:r>
    </w:p>
    <w:p w:rsidR="00CD34F1" w:rsidRPr="00D45B5F" w:rsidRDefault="00CD34F1" w:rsidP="00CD34F1">
      <w:pPr>
        <w:pStyle w:val="Paragraphedeliste"/>
        <w:ind w:left="0"/>
        <w:jc w:val="both"/>
        <w:rPr>
          <w:rFonts w:asciiTheme="minorHAnsi" w:hAnsiTheme="minorHAnsi" w:cs="Calibri"/>
          <w:sz w:val="24"/>
          <w:szCs w:val="24"/>
        </w:rPr>
      </w:pPr>
      <w:r w:rsidRPr="00D45B5F">
        <w:rPr>
          <w:rFonts w:asciiTheme="minorHAnsi" w:hAnsiTheme="minorHAnsi" w:cs="Calibri"/>
          <w:sz w:val="24"/>
          <w:szCs w:val="24"/>
        </w:rPr>
        <w:t xml:space="preserve">b). </w:t>
      </w:r>
      <w:r w:rsidRPr="00D45B5F">
        <w:rPr>
          <w:rFonts w:asciiTheme="minorHAnsi" w:hAnsiTheme="minorHAnsi" w:cs="Calibri"/>
          <w:b/>
          <w:sz w:val="24"/>
          <w:szCs w:val="24"/>
        </w:rPr>
        <w:t>Exhaustivité et Fiabilité des données</w:t>
      </w:r>
      <w:r w:rsidRPr="00D45B5F">
        <w:rPr>
          <w:rFonts w:asciiTheme="minorHAnsi" w:hAnsiTheme="minorHAnsi" w:cs="Calibri"/>
          <w:sz w:val="24"/>
          <w:szCs w:val="24"/>
        </w:rPr>
        <w:t>:</w:t>
      </w:r>
    </w:p>
    <w:p w:rsidR="00CD34F1" w:rsidRPr="00D45B5F" w:rsidRDefault="00CD34F1" w:rsidP="00C7360A">
      <w:pPr>
        <w:pStyle w:val="Paragraphedeliste"/>
        <w:numPr>
          <w:ilvl w:val="0"/>
          <w:numId w:val="10"/>
        </w:numPr>
        <w:ind w:left="709"/>
        <w:jc w:val="both"/>
        <w:rPr>
          <w:rFonts w:asciiTheme="minorHAnsi" w:hAnsiTheme="minorHAnsi" w:cs="Calibri"/>
          <w:sz w:val="24"/>
          <w:szCs w:val="24"/>
        </w:rPr>
      </w:pPr>
      <w:r w:rsidRPr="00D45B5F">
        <w:rPr>
          <w:rFonts w:asciiTheme="minorHAnsi" w:hAnsiTheme="minorHAnsi" w:cs="Calibri"/>
          <w:b/>
          <w:sz w:val="24"/>
          <w:szCs w:val="24"/>
        </w:rPr>
        <w:t>Secteur  Pétrolier </w:t>
      </w:r>
      <w:r w:rsidRPr="00D45B5F">
        <w:rPr>
          <w:rFonts w:asciiTheme="minorHAnsi" w:hAnsiTheme="minorHAnsi" w:cs="Calibri"/>
          <w:sz w:val="24"/>
          <w:szCs w:val="24"/>
        </w:rPr>
        <w:t xml:space="preserve">: 11 entreprises sur 12 du Périmètre ont soumis des formulaires de déclaration, 1 entreprise (ENI RDC), n’a pas soumis de formulaire puisqu’elle  a renoncé à sa participation dans le contrat d’association avec Surestream et a  quitté la RDC début 2015.  L’A.I a reçu une lettre du Ministre des Hydrocarbures  confirmant ce départ. </w:t>
      </w:r>
    </w:p>
    <w:p w:rsidR="00CD34F1" w:rsidRPr="00D45B5F" w:rsidRDefault="00CD34F1" w:rsidP="00CD34F1">
      <w:pPr>
        <w:pStyle w:val="Paragraphedeliste"/>
        <w:ind w:left="709"/>
        <w:jc w:val="both"/>
        <w:rPr>
          <w:rFonts w:asciiTheme="minorHAnsi" w:hAnsiTheme="minorHAnsi" w:cs="Calibri"/>
          <w:sz w:val="24"/>
          <w:szCs w:val="24"/>
        </w:rPr>
      </w:pPr>
      <w:r w:rsidRPr="00D45B5F">
        <w:rPr>
          <w:rFonts w:asciiTheme="minorHAnsi" w:hAnsiTheme="minorHAnsi" w:cs="Calibri"/>
          <w:sz w:val="24"/>
          <w:szCs w:val="24"/>
        </w:rPr>
        <w:t>Toutes les Régies financières ont soumis des formulaires de déclarations  attestés par les hauts responsables et certifiés par l’Inspection Générale des Finances(IGF), à l’exception du Ministère de l’Environnement dont le formulaire n’a pas été certifié.</w:t>
      </w:r>
    </w:p>
    <w:p w:rsidR="00CD34F1" w:rsidRPr="00304AFF" w:rsidRDefault="00CD34F1" w:rsidP="00CD34F1">
      <w:pPr>
        <w:pStyle w:val="Paragraphedeliste"/>
        <w:ind w:left="709"/>
        <w:jc w:val="both"/>
        <w:rPr>
          <w:rFonts w:asciiTheme="minorHAnsi" w:hAnsiTheme="minorHAnsi" w:cs="Calibri"/>
          <w:sz w:val="8"/>
          <w:szCs w:val="24"/>
        </w:rPr>
      </w:pPr>
    </w:p>
    <w:p w:rsidR="00CD34F1" w:rsidRPr="00D45B5F" w:rsidRDefault="00CD34F1" w:rsidP="00CD34F1">
      <w:pPr>
        <w:pStyle w:val="Paragraphedeliste"/>
        <w:ind w:left="709"/>
        <w:jc w:val="both"/>
        <w:rPr>
          <w:rFonts w:asciiTheme="minorHAnsi" w:hAnsiTheme="minorHAnsi" w:cs="Calibri"/>
          <w:sz w:val="24"/>
          <w:szCs w:val="24"/>
        </w:rPr>
      </w:pPr>
      <w:r w:rsidRPr="00D45B5F">
        <w:rPr>
          <w:rFonts w:asciiTheme="minorHAnsi" w:hAnsiTheme="minorHAnsi" w:cs="Calibri"/>
          <w:sz w:val="24"/>
          <w:szCs w:val="24"/>
        </w:rPr>
        <w:t xml:space="preserve">De 11 entreprises qui ont soumis les formulaires de déclaration, 2 entreprises (ENERGULF et SURESTREAM)  ne se sont pas conformées au mécanisme de fiabilisation des données adopté par le C.E. Les Recettes perçues de ces  deux entreprises représentent 0,03% de l’ensemble de recettes  déclarées perçues par l’Etat. </w:t>
      </w:r>
    </w:p>
    <w:p w:rsidR="00CD34F1" w:rsidRPr="00D45B5F" w:rsidRDefault="00CD34F1" w:rsidP="00CD34F1">
      <w:pPr>
        <w:pStyle w:val="Paragraphedeliste"/>
        <w:ind w:left="709"/>
        <w:jc w:val="both"/>
        <w:rPr>
          <w:rFonts w:asciiTheme="minorHAnsi" w:hAnsiTheme="minorHAnsi" w:cs="Calibri"/>
          <w:sz w:val="24"/>
          <w:szCs w:val="24"/>
        </w:rPr>
      </w:pPr>
      <w:r w:rsidRPr="00D45B5F">
        <w:rPr>
          <w:rFonts w:asciiTheme="minorHAnsi" w:hAnsiTheme="minorHAnsi" w:cs="Calibri"/>
          <w:sz w:val="24"/>
          <w:szCs w:val="24"/>
        </w:rPr>
        <w:t>Le taux de fiabilisation est de 100% pour les Régies et  99,99 % pour les Entreprises.</w:t>
      </w:r>
    </w:p>
    <w:p w:rsidR="00CD34F1" w:rsidRPr="00304AFF" w:rsidRDefault="00CD34F1" w:rsidP="00CD34F1">
      <w:pPr>
        <w:pStyle w:val="Paragraphedeliste"/>
        <w:ind w:left="709"/>
        <w:jc w:val="both"/>
        <w:rPr>
          <w:rFonts w:asciiTheme="minorHAnsi" w:hAnsiTheme="minorHAnsi" w:cs="Calibri"/>
          <w:sz w:val="10"/>
          <w:szCs w:val="24"/>
        </w:rPr>
      </w:pPr>
    </w:p>
    <w:p w:rsidR="00CD34F1" w:rsidRPr="00D45B5F" w:rsidRDefault="00CD34F1" w:rsidP="00C7360A">
      <w:pPr>
        <w:pStyle w:val="Paragraphedeliste"/>
        <w:numPr>
          <w:ilvl w:val="0"/>
          <w:numId w:val="10"/>
        </w:numPr>
        <w:ind w:left="709"/>
        <w:jc w:val="both"/>
        <w:rPr>
          <w:rFonts w:asciiTheme="minorHAnsi" w:hAnsiTheme="minorHAnsi" w:cs="Calibri"/>
          <w:sz w:val="24"/>
          <w:szCs w:val="24"/>
        </w:rPr>
      </w:pPr>
      <w:r w:rsidRPr="00D45B5F">
        <w:rPr>
          <w:rFonts w:asciiTheme="minorHAnsi" w:hAnsiTheme="minorHAnsi" w:cs="Calibri"/>
          <w:b/>
          <w:sz w:val="24"/>
          <w:szCs w:val="24"/>
        </w:rPr>
        <w:t>Secteur minie</w:t>
      </w:r>
      <w:r w:rsidRPr="00D45B5F">
        <w:rPr>
          <w:rFonts w:asciiTheme="minorHAnsi" w:hAnsiTheme="minorHAnsi" w:cs="Calibri"/>
          <w:sz w:val="24"/>
          <w:szCs w:val="24"/>
        </w:rPr>
        <w:t xml:space="preserve">r : 102 sur 105 entreprises ont soumis de formulaires de déclaration. La proportion des revenus déclarés par ces 102 entreprises  dans l’ensemble des revenus conciliés s’élève à 99,98%. </w:t>
      </w:r>
    </w:p>
    <w:p w:rsidR="00CD34F1" w:rsidRPr="00D45B5F" w:rsidRDefault="00CD34F1" w:rsidP="00CD34F1">
      <w:pPr>
        <w:pStyle w:val="Paragraphedeliste"/>
        <w:ind w:left="709"/>
        <w:jc w:val="both"/>
        <w:rPr>
          <w:rFonts w:asciiTheme="minorHAnsi" w:hAnsiTheme="minorHAnsi" w:cs="Calibri"/>
          <w:sz w:val="24"/>
          <w:szCs w:val="24"/>
        </w:rPr>
      </w:pPr>
      <w:r w:rsidRPr="00D45B5F">
        <w:rPr>
          <w:rFonts w:asciiTheme="minorHAnsi" w:hAnsiTheme="minorHAnsi" w:cs="Calibri"/>
          <w:sz w:val="24"/>
          <w:szCs w:val="24"/>
        </w:rPr>
        <w:t>Toutes les Régies financières et entités étatiques du périmètre ont fourni des formulaires de déclaration.</w:t>
      </w:r>
    </w:p>
    <w:p w:rsidR="00CD34F1" w:rsidRPr="00304AFF" w:rsidRDefault="00CD34F1" w:rsidP="00CD34F1">
      <w:pPr>
        <w:pStyle w:val="Paragraphedeliste"/>
        <w:ind w:left="709"/>
        <w:jc w:val="both"/>
        <w:rPr>
          <w:rFonts w:asciiTheme="minorHAnsi" w:hAnsiTheme="minorHAnsi" w:cs="Calibri"/>
          <w:sz w:val="8"/>
          <w:szCs w:val="24"/>
        </w:rPr>
      </w:pPr>
    </w:p>
    <w:p w:rsidR="00CD34F1" w:rsidRPr="00D45B5F" w:rsidRDefault="00CD34F1" w:rsidP="00CD34F1">
      <w:pPr>
        <w:pStyle w:val="Paragraphedeliste"/>
        <w:ind w:left="709"/>
        <w:jc w:val="both"/>
        <w:rPr>
          <w:rFonts w:asciiTheme="minorHAnsi" w:hAnsiTheme="minorHAnsi" w:cs="Calibri"/>
          <w:sz w:val="24"/>
          <w:szCs w:val="24"/>
        </w:rPr>
      </w:pPr>
      <w:r w:rsidRPr="00D45B5F">
        <w:rPr>
          <w:rFonts w:asciiTheme="minorHAnsi" w:hAnsiTheme="minorHAnsi" w:cs="Calibri"/>
          <w:sz w:val="24"/>
          <w:szCs w:val="24"/>
        </w:rPr>
        <w:t xml:space="preserve">Des 102 entreprises minières ayant soumis le formulaire de déclaration, 5 n’ont pas respecté le mécanisme de fiabilisation Il s’agit de la SCMK-Mn,  SAKIMA, SOCOMEX, RIO TINTO et DE BEERS. Les recettes perçues de ces 5 entreprises représentent 0,05 % de l’ensemble des recettes déclarées par l’Etat. </w:t>
      </w:r>
    </w:p>
    <w:p w:rsidR="00CD34F1" w:rsidRPr="00304AFF" w:rsidRDefault="00CD34F1" w:rsidP="00CD34F1">
      <w:pPr>
        <w:pStyle w:val="Paragraphedeliste"/>
        <w:ind w:left="1146"/>
        <w:jc w:val="both"/>
        <w:rPr>
          <w:rFonts w:asciiTheme="minorHAnsi" w:hAnsiTheme="minorHAnsi" w:cs="Calibri"/>
          <w:sz w:val="6"/>
          <w:szCs w:val="24"/>
        </w:rPr>
      </w:pPr>
    </w:p>
    <w:p w:rsidR="00CD34F1" w:rsidRPr="00D45B5F" w:rsidRDefault="00CD34F1" w:rsidP="00CD34F1">
      <w:pPr>
        <w:pStyle w:val="Paragraphedeliste"/>
        <w:ind w:left="142"/>
        <w:jc w:val="both"/>
        <w:rPr>
          <w:rFonts w:asciiTheme="minorHAnsi" w:hAnsiTheme="minorHAnsi" w:cs="Calibri"/>
          <w:sz w:val="24"/>
          <w:szCs w:val="24"/>
        </w:rPr>
      </w:pPr>
      <w:r w:rsidRPr="00D45B5F">
        <w:rPr>
          <w:rFonts w:asciiTheme="minorHAnsi" w:hAnsiTheme="minorHAnsi" w:cs="Calibri"/>
          <w:sz w:val="24"/>
          <w:szCs w:val="24"/>
        </w:rPr>
        <w:t>c). Revenus du secteu</w:t>
      </w:r>
      <w:r w:rsidR="00304AFF">
        <w:rPr>
          <w:rFonts w:asciiTheme="minorHAnsi" w:hAnsiTheme="minorHAnsi" w:cs="Calibri"/>
          <w:sz w:val="24"/>
          <w:szCs w:val="24"/>
        </w:rPr>
        <w:t>r extractif déclarés par l’Etat</w:t>
      </w:r>
      <w:r w:rsidR="00304AFF">
        <w:rPr>
          <w:rFonts w:asciiTheme="minorHAnsi" w:hAnsiTheme="minorHAnsi" w:cs="Calibri"/>
          <w:sz w:val="24"/>
          <w:szCs w:val="24"/>
        </w:rPr>
        <w:tab/>
      </w:r>
      <w:r w:rsidR="00304AFF">
        <w:rPr>
          <w:rFonts w:asciiTheme="minorHAnsi" w:hAnsiTheme="minorHAnsi" w:cs="Calibri"/>
          <w:sz w:val="24"/>
          <w:szCs w:val="24"/>
        </w:rPr>
        <w:tab/>
      </w:r>
      <w:r w:rsidRPr="00D45B5F">
        <w:rPr>
          <w:rFonts w:asciiTheme="minorHAnsi" w:hAnsiTheme="minorHAnsi" w:cs="Calibri"/>
          <w:sz w:val="24"/>
          <w:szCs w:val="24"/>
        </w:rPr>
        <w:t xml:space="preserve">: 2,087 milliards de $ USD </w:t>
      </w:r>
    </w:p>
    <w:p w:rsidR="00CD34F1" w:rsidRPr="00D45B5F" w:rsidRDefault="00CD34F1" w:rsidP="00CD34F1">
      <w:pPr>
        <w:pStyle w:val="Paragraphedeliste"/>
        <w:ind w:left="142"/>
        <w:jc w:val="both"/>
        <w:rPr>
          <w:rFonts w:asciiTheme="minorHAnsi" w:hAnsiTheme="minorHAnsi" w:cs="Calibri"/>
          <w:sz w:val="24"/>
          <w:szCs w:val="24"/>
        </w:rPr>
      </w:pPr>
      <w:r w:rsidRPr="00D45B5F">
        <w:rPr>
          <w:rFonts w:asciiTheme="minorHAnsi" w:hAnsiTheme="minorHAnsi" w:cs="Calibri"/>
          <w:sz w:val="24"/>
          <w:szCs w:val="24"/>
        </w:rPr>
        <w:t xml:space="preserve">     Payements du secteur extract</w:t>
      </w:r>
      <w:r w:rsidR="00304AFF">
        <w:rPr>
          <w:rFonts w:asciiTheme="minorHAnsi" w:hAnsiTheme="minorHAnsi" w:cs="Calibri"/>
          <w:sz w:val="24"/>
          <w:szCs w:val="24"/>
        </w:rPr>
        <w:t>if déclarés par les Entreprises</w:t>
      </w:r>
      <w:r w:rsidR="00304AFF">
        <w:rPr>
          <w:rFonts w:asciiTheme="minorHAnsi" w:hAnsiTheme="minorHAnsi" w:cs="Calibri"/>
          <w:sz w:val="24"/>
          <w:szCs w:val="24"/>
        </w:rPr>
        <w:tab/>
      </w:r>
      <w:r w:rsidRPr="00D45B5F">
        <w:rPr>
          <w:rFonts w:asciiTheme="minorHAnsi" w:hAnsiTheme="minorHAnsi" w:cs="Calibri"/>
          <w:sz w:val="24"/>
          <w:szCs w:val="24"/>
        </w:rPr>
        <w:t xml:space="preserve">:   2,074 milliards de $USD </w:t>
      </w:r>
    </w:p>
    <w:p w:rsidR="00CD34F1" w:rsidRPr="00D45B5F" w:rsidRDefault="00CD34F1" w:rsidP="00CD34F1">
      <w:pPr>
        <w:pStyle w:val="Paragraphedeliste"/>
        <w:ind w:left="142"/>
        <w:jc w:val="both"/>
        <w:rPr>
          <w:rFonts w:asciiTheme="minorHAnsi" w:hAnsiTheme="minorHAnsi" w:cs="Calibri"/>
          <w:sz w:val="24"/>
          <w:szCs w:val="24"/>
        </w:rPr>
      </w:pPr>
      <w:r w:rsidRPr="00D45B5F">
        <w:rPr>
          <w:rFonts w:asciiTheme="minorHAnsi" w:hAnsiTheme="minorHAnsi" w:cs="Calibri"/>
          <w:sz w:val="24"/>
          <w:szCs w:val="24"/>
        </w:rPr>
        <w:t xml:space="preserve">     Ecart absolu : 13,031millions de  $USD soit 0,62% du total des Recettes.</w:t>
      </w:r>
    </w:p>
    <w:p w:rsidR="00CD34F1" w:rsidRPr="00304AFF" w:rsidRDefault="00CD34F1" w:rsidP="00CD34F1">
      <w:pPr>
        <w:pStyle w:val="Paragraphedeliste"/>
        <w:ind w:left="142"/>
        <w:jc w:val="both"/>
        <w:rPr>
          <w:rFonts w:asciiTheme="minorHAnsi" w:hAnsiTheme="minorHAnsi" w:cs="Calibri"/>
          <w:sz w:val="16"/>
          <w:szCs w:val="24"/>
        </w:rPr>
      </w:pPr>
    </w:p>
    <w:p w:rsidR="00CD34F1" w:rsidRPr="00D45B5F" w:rsidRDefault="00CD34F1" w:rsidP="00CD34F1">
      <w:pPr>
        <w:pStyle w:val="Paragraphedeliste"/>
        <w:ind w:left="142"/>
        <w:jc w:val="both"/>
        <w:rPr>
          <w:rFonts w:asciiTheme="minorHAnsi" w:hAnsiTheme="minorHAnsi" w:cs="Calibri"/>
          <w:sz w:val="24"/>
          <w:szCs w:val="24"/>
        </w:rPr>
      </w:pPr>
      <w:r w:rsidRPr="00D45B5F">
        <w:rPr>
          <w:rFonts w:asciiTheme="minorHAnsi" w:hAnsiTheme="minorHAnsi" w:cs="Calibri"/>
          <w:sz w:val="24"/>
          <w:szCs w:val="24"/>
        </w:rPr>
        <w:lastRenderedPageBreak/>
        <w:t>d). Quant aux Recommandations, 8 ont été relevées et devront faire l’objet d’un suivi et d’une évaluation de la part du  C.E ceci pour ne pas tomber en deçà  du niveau requis pour un pays conforme.</w:t>
      </w:r>
    </w:p>
    <w:p w:rsidR="00CD34F1" w:rsidRPr="00304AFF" w:rsidRDefault="00CD34F1" w:rsidP="00CD34F1">
      <w:pPr>
        <w:pStyle w:val="Paragraphedeliste"/>
        <w:ind w:left="426"/>
        <w:jc w:val="both"/>
        <w:rPr>
          <w:rFonts w:asciiTheme="minorHAnsi" w:hAnsiTheme="minorHAnsi" w:cs="Calibri"/>
          <w:sz w:val="8"/>
          <w:szCs w:val="24"/>
        </w:rPr>
      </w:pPr>
    </w:p>
    <w:p w:rsidR="00CD34F1" w:rsidRPr="00D45B5F" w:rsidRDefault="00CD34F1" w:rsidP="00C7360A">
      <w:pPr>
        <w:pStyle w:val="Paragraphedeliste"/>
        <w:numPr>
          <w:ilvl w:val="0"/>
          <w:numId w:val="9"/>
        </w:numPr>
        <w:jc w:val="both"/>
        <w:rPr>
          <w:rFonts w:asciiTheme="minorHAnsi" w:hAnsiTheme="minorHAnsi" w:cs="Calibri"/>
          <w:b/>
          <w:sz w:val="24"/>
          <w:szCs w:val="24"/>
        </w:rPr>
      </w:pPr>
      <w:r w:rsidRPr="00D45B5F">
        <w:rPr>
          <w:rFonts w:asciiTheme="minorHAnsi" w:hAnsiTheme="minorHAnsi" w:cs="Calibri"/>
          <w:b/>
          <w:sz w:val="24"/>
          <w:szCs w:val="24"/>
        </w:rPr>
        <w:t xml:space="preserve">Débat </w:t>
      </w:r>
    </w:p>
    <w:p w:rsidR="00CD34F1" w:rsidRPr="00D45B5F" w:rsidRDefault="00CD34F1" w:rsidP="00CD34F1">
      <w:pPr>
        <w:pStyle w:val="Paragraphedeliste"/>
        <w:jc w:val="both"/>
        <w:rPr>
          <w:rFonts w:asciiTheme="minorHAnsi" w:hAnsiTheme="minorHAnsi" w:cs="Calibri"/>
          <w:b/>
          <w:sz w:val="24"/>
          <w:szCs w:val="24"/>
        </w:rPr>
      </w:pPr>
      <w:r w:rsidRPr="00D45B5F">
        <w:rPr>
          <w:rFonts w:asciiTheme="minorHAnsi" w:hAnsiTheme="minorHAnsi" w:cs="Calibri"/>
          <w:sz w:val="24"/>
          <w:szCs w:val="24"/>
        </w:rPr>
        <w:t>Le débat a tourné autour des points suivants</w:t>
      </w:r>
      <w:r w:rsidRPr="00D45B5F">
        <w:rPr>
          <w:rFonts w:asciiTheme="minorHAnsi" w:hAnsiTheme="minorHAnsi" w:cs="Calibri"/>
          <w:b/>
          <w:sz w:val="24"/>
          <w:szCs w:val="24"/>
        </w:rPr>
        <w:t> :</w:t>
      </w:r>
    </w:p>
    <w:p w:rsidR="00CD34F1" w:rsidRPr="00D45B5F" w:rsidRDefault="00CD34F1" w:rsidP="00C7360A">
      <w:pPr>
        <w:pStyle w:val="Paragraphedeliste"/>
        <w:numPr>
          <w:ilvl w:val="0"/>
          <w:numId w:val="12"/>
        </w:numPr>
        <w:ind w:left="1134"/>
        <w:jc w:val="both"/>
        <w:rPr>
          <w:rFonts w:asciiTheme="minorHAnsi" w:hAnsiTheme="minorHAnsi" w:cs="Calibri"/>
          <w:sz w:val="24"/>
          <w:szCs w:val="24"/>
        </w:rPr>
      </w:pPr>
      <w:r w:rsidRPr="00D45B5F">
        <w:rPr>
          <w:rFonts w:asciiTheme="minorHAnsi" w:hAnsiTheme="minorHAnsi" w:cs="Calibri"/>
          <w:sz w:val="24"/>
          <w:szCs w:val="24"/>
        </w:rPr>
        <w:t>La DGDA qui continue à engendrer de manière persistante des écarts énorme et inexpliqués face à la déclaration des entreprises ;</w:t>
      </w:r>
    </w:p>
    <w:p w:rsidR="00CD34F1" w:rsidRPr="00D45B5F" w:rsidRDefault="00CD34F1" w:rsidP="00C7360A">
      <w:pPr>
        <w:pStyle w:val="Paragraphedeliste"/>
        <w:numPr>
          <w:ilvl w:val="0"/>
          <w:numId w:val="12"/>
        </w:numPr>
        <w:ind w:left="1134"/>
        <w:jc w:val="both"/>
        <w:rPr>
          <w:rFonts w:asciiTheme="minorHAnsi" w:hAnsiTheme="minorHAnsi" w:cs="Calibri"/>
          <w:sz w:val="24"/>
          <w:szCs w:val="24"/>
        </w:rPr>
      </w:pPr>
      <w:r w:rsidRPr="00D45B5F">
        <w:rPr>
          <w:rFonts w:asciiTheme="minorHAnsi" w:hAnsiTheme="minorHAnsi" w:cs="Calibri"/>
          <w:sz w:val="24"/>
          <w:szCs w:val="24"/>
        </w:rPr>
        <w:t>La divergence constatée entre la DGDA et la DGI  en rapport avec les NIF et aussi l’utilisation d’un même NIF par plusieurs entreprises à l’importation ;</w:t>
      </w:r>
    </w:p>
    <w:p w:rsidR="00CD34F1" w:rsidRPr="00D45B5F" w:rsidRDefault="00CD34F1" w:rsidP="00C7360A">
      <w:pPr>
        <w:pStyle w:val="Paragraphedeliste"/>
        <w:numPr>
          <w:ilvl w:val="0"/>
          <w:numId w:val="12"/>
        </w:numPr>
        <w:ind w:left="1134"/>
        <w:jc w:val="both"/>
        <w:rPr>
          <w:rFonts w:asciiTheme="minorHAnsi" w:hAnsiTheme="minorHAnsi" w:cs="Calibri"/>
          <w:sz w:val="24"/>
          <w:szCs w:val="24"/>
        </w:rPr>
      </w:pPr>
      <w:r w:rsidRPr="00D45B5F">
        <w:rPr>
          <w:rFonts w:asciiTheme="minorHAnsi" w:hAnsiTheme="minorHAnsi" w:cs="Calibri"/>
          <w:sz w:val="24"/>
          <w:szCs w:val="24"/>
        </w:rPr>
        <w:t>Le Gouvernement ne maîtrise pas le cost et profit oil et donc sa déclaration de la production et des exportations du pétrole est peu fiable ;</w:t>
      </w:r>
    </w:p>
    <w:p w:rsidR="00CD34F1" w:rsidRPr="00D45B5F" w:rsidRDefault="00CD34F1" w:rsidP="00C7360A">
      <w:pPr>
        <w:pStyle w:val="Paragraphedeliste"/>
        <w:numPr>
          <w:ilvl w:val="0"/>
          <w:numId w:val="12"/>
        </w:numPr>
        <w:ind w:left="1134"/>
        <w:jc w:val="both"/>
        <w:rPr>
          <w:rFonts w:asciiTheme="minorHAnsi" w:hAnsiTheme="minorHAnsi" w:cs="Calibri"/>
          <w:sz w:val="24"/>
          <w:szCs w:val="24"/>
        </w:rPr>
      </w:pPr>
      <w:r w:rsidRPr="00D45B5F">
        <w:rPr>
          <w:rFonts w:asciiTheme="minorHAnsi" w:hAnsiTheme="minorHAnsi" w:cs="Calibri"/>
          <w:sz w:val="24"/>
          <w:szCs w:val="24"/>
        </w:rPr>
        <w:t>Les recommandations de l’A.I. qui semblent peu suivies surtout à propos de la modification constante de la base de sa déclaration ;</w:t>
      </w:r>
    </w:p>
    <w:p w:rsidR="00CD34F1" w:rsidRPr="00D45B5F" w:rsidRDefault="00CD34F1" w:rsidP="00C7360A">
      <w:pPr>
        <w:pStyle w:val="Paragraphedeliste"/>
        <w:numPr>
          <w:ilvl w:val="0"/>
          <w:numId w:val="12"/>
        </w:numPr>
        <w:ind w:left="1134"/>
        <w:jc w:val="both"/>
        <w:rPr>
          <w:rFonts w:asciiTheme="minorHAnsi" w:hAnsiTheme="minorHAnsi" w:cs="Calibri"/>
          <w:sz w:val="24"/>
          <w:szCs w:val="24"/>
        </w:rPr>
      </w:pPr>
      <w:r w:rsidRPr="00D45B5F">
        <w:rPr>
          <w:rFonts w:asciiTheme="minorHAnsi" w:hAnsiTheme="minorHAnsi" w:cs="Calibri"/>
          <w:sz w:val="24"/>
          <w:szCs w:val="24"/>
        </w:rPr>
        <w:t>Les écarts  entre les déclarations contenues dans les annexes du Rapport</w:t>
      </w:r>
    </w:p>
    <w:p w:rsidR="00CD34F1" w:rsidRPr="00D45B5F" w:rsidRDefault="00CD34F1" w:rsidP="00CD34F1">
      <w:pPr>
        <w:ind w:left="360"/>
        <w:jc w:val="both"/>
        <w:rPr>
          <w:rFonts w:asciiTheme="minorHAnsi" w:hAnsiTheme="minorHAnsi" w:cs="Calibri"/>
          <w:sz w:val="24"/>
          <w:szCs w:val="24"/>
        </w:rPr>
      </w:pPr>
      <w:r w:rsidRPr="00D45B5F">
        <w:rPr>
          <w:rFonts w:asciiTheme="minorHAnsi" w:hAnsiTheme="minorHAnsi" w:cs="Calibri"/>
          <w:sz w:val="24"/>
          <w:szCs w:val="24"/>
        </w:rPr>
        <w:t>En réponse à quelques-unes des préoccupations soulevées dans le débat, des réponses ont été apportées :</w:t>
      </w:r>
    </w:p>
    <w:p w:rsidR="00CD34F1" w:rsidRPr="00D45B5F" w:rsidRDefault="00CD34F1" w:rsidP="00C7360A">
      <w:pPr>
        <w:pStyle w:val="Paragraphedeliste"/>
        <w:numPr>
          <w:ilvl w:val="0"/>
          <w:numId w:val="13"/>
        </w:numPr>
        <w:ind w:left="1440"/>
        <w:jc w:val="both"/>
        <w:rPr>
          <w:rFonts w:asciiTheme="minorHAnsi" w:hAnsiTheme="minorHAnsi" w:cs="Calibri"/>
          <w:sz w:val="24"/>
          <w:szCs w:val="24"/>
        </w:rPr>
      </w:pPr>
      <w:r w:rsidRPr="00D45B5F">
        <w:rPr>
          <w:rFonts w:asciiTheme="minorHAnsi" w:hAnsiTheme="minorHAnsi" w:cs="Calibri"/>
          <w:sz w:val="24"/>
          <w:szCs w:val="24"/>
        </w:rPr>
        <w:t>Le Ministre des Finances a demandé à la DGDA de rassurer le CE que les écarts seront totalement résorbés.</w:t>
      </w:r>
    </w:p>
    <w:p w:rsidR="00CD34F1" w:rsidRPr="00D45B5F" w:rsidRDefault="00CD34F1" w:rsidP="00C7360A">
      <w:pPr>
        <w:pStyle w:val="Paragraphedeliste"/>
        <w:numPr>
          <w:ilvl w:val="0"/>
          <w:numId w:val="13"/>
        </w:numPr>
        <w:ind w:left="1440"/>
        <w:jc w:val="both"/>
        <w:rPr>
          <w:rFonts w:asciiTheme="minorHAnsi" w:hAnsiTheme="minorHAnsi" w:cs="Calibri"/>
          <w:sz w:val="24"/>
          <w:szCs w:val="24"/>
        </w:rPr>
      </w:pPr>
      <w:r w:rsidRPr="00D45B5F">
        <w:rPr>
          <w:rFonts w:asciiTheme="minorHAnsi" w:hAnsiTheme="minorHAnsi" w:cs="Calibri"/>
          <w:sz w:val="24"/>
          <w:szCs w:val="24"/>
        </w:rPr>
        <w:t>Le DG de la DGI et le DGA de la DGRAD ont convenu d’harmoniser les divergences entre les NIF indiqués par leurs structures dans la déclaration à l’ITIE.</w:t>
      </w:r>
    </w:p>
    <w:p w:rsidR="00CD34F1" w:rsidRPr="00D45B5F" w:rsidRDefault="00CD34F1" w:rsidP="00C7360A">
      <w:pPr>
        <w:pStyle w:val="Paragraphedeliste"/>
        <w:numPr>
          <w:ilvl w:val="0"/>
          <w:numId w:val="13"/>
        </w:numPr>
        <w:ind w:left="1440"/>
        <w:jc w:val="both"/>
        <w:rPr>
          <w:rFonts w:asciiTheme="minorHAnsi" w:hAnsiTheme="minorHAnsi" w:cs="Calibri"/>
          <w:sz w:val="24"/>
          <w:szCs w:val="24"/>
        </w:rPr>
      </w:pPr>
      <w:r w:rsidRPr="00D45B5F">
        <w:rPr>
          <w:rFonts w:asciiTheme="minorHAnsi" w:hAnsiTheme="minorHAnsi" w:cs="Calibri"/>
          <w:sz w:val="24"/>
          <w:szCs w:val="24"/>
        </w:rPr>
        <w:t>En l’absence du Ministre des Hydrocarbures, le CE reviendra sur la question de fiabilisation des volumes  production et des exportations.</w:t>
      </w:r>
    </w:p>
    <w:p w:rsidR="00CD34F1" w:rsidRPr="00D45B5F" w:rsidRDefault="00CD34F1" w:rsidP="00C7360A">
      <w:pPr>
        <w:pStyle w:val="Paragraphedeliste"/>
        <w:numPr>
          <w:ilvl w:val="0"/>
          <w:numId w:val="13"/>
        </w:numPr>
        <w:ind w:left="1440"/>
        <w:jc w:val="both"/>
        <w:rPr>
          <w:rFonts w:asciiTheme="minorHAnsi" w:hAnsiTheme="minorHAnsi" w:cs="Calibri"/>
          <w:sz w:val="24"/>
          <w:szCs w:val="24"/>
        </w:rPr>
      </w:pPr>
      <w:r w:rsidRPr="00D45B5F">
        <w:rPr>
          <w:rFonts w:asciiTheme="minorHAnsi" w:hAnsiTheme="minorHAnsi" w:cs="Calibri"/>
          <w:sz w:val="24"/>
          <w:szCs w:val="24"/>
        </w:rPr>
        <w:t>Le CE a demandé au Secrétariat Technique de l’ITIE de proposer un plan d’exécution des recommandations de l’A.I.</w:t>
      </w:r>
    </w:p>
    <w:p w:rsidR="00CD34F1" w:rsidRPr="00D45B5F" w:rsidRDefault="00CD34F1" w:rsidP="00C7360A">
      <w:pPr>
        <w:pStyle w:val="Paragraphedeliste"/>
        <w:numPr>
          <w:ilvl w:val="0"/>
          <w:numId w:val="13"/>
        </w:numPr>
        <w:ind w:left="1440"/>
        <w:jc w:val="both"/>
        <w:rPr>
          <w:rFonts w:asciiTheme="minorHAnsi" w:hAnsiTheme="minorHAnsi" w:cs="Calibri"/>
          <w:sz w:val="24"/>
          <w:szCs w:val="24"/>
        </w:rPr>
      </w:pPr>
      <w:r w:rsidRPr="00D45B5F">
        <w:rPr>
          <w:rFonts w:asciiTheme="minorHAnsi" w:hAnsiTheme="minorHAnsi" w:cs="Calibri"/>
          <w:sz w:val="24"/>
          <w:szCs w:val="24"/>
        </w:rPr>
        <w:t>L’A.I. a clairement expliqué au CE la situation des écarts relevé dans les annexes par  le représentant du collège des entreprises.</w:t>
      </w:r>
    </w:p>
    <w:p w:rsidR="00CD34F1" w:rsidRPr="00D45B5F" w:rsidRDefault="00CD34F1" w:rsidP="00C7360A">
      <w:pPr>
        <w:pStyle w:val="Paragraphedeliste"/>
        <w:numPr>
          <w:ilvl w:val="0"/>
          <w:numId w:val="9"/>
        </w:numPr>
        <w:spacing w:after="0"/>
        <w:ind w:left="426"/>
        <w:jc w:val="both"/>
        <w:rPr>
          <w:rFonts w:asciiTheme="minorHAnsi" w:hAnsiTheme="minorHAnsi" w:cs="Calibri"/>
          <w:b/>
          <w:sz w:val="24"/>
          <w:szCs w:val="24"/>
        </w:rPr>
      </w:pPr>
      <w:r w:rsidRPr="00D45B5F">
        <w:rPr>
          <w:rFonts w:asciiTheme="minorHAnsi" w:hAnsiTheme="minorHAnsi" w:cs="Calibri"/>
          <w:b/>
          <w:sz w:val="24"/>
          <w:szCs w:val="24"/>
        </w:rPr>
        <w:t>Délibération.</w:t>
      </w:r>
    </w:p>
    <w:p w:rsidR="00CD34F1" w:rsidRPr="00D45B5F" w:rsidRDefault="00CD34F1" w:rsidP="00C7360A">
      <w:pPr>
        <w:pStyle w:val="Paragraphedeliste"/>
        <w:numPr>
          <w:ilvl w:val="0"/>
          <w:numId w:val="11"/>
        </w:numPr>
        <w:shd w:val="clear" w:color="auto" w:fill="E7E6E6" w:themeFill="background2"/>
        <w:jc w:val="both"/>
        <w:rPr>
          <w:rFonts w:asciiTheme="minorHAnsi" w:hAnsiTheme="minorHAnsi" w:cs="Calibri"/>
          <w:b/>
          <w:i/>
          <w:sz w:val="24"/>
          <w:szCs w:val="24"/>
        </w:rPr>
      </w:pPr>
      <w:r w:rsidRPr="00D45B5F">
        <w:rPr>
          <w:rFonts w:asciiTheme="minorHAnsi" w:hAnsiTheme="minorHAnsi" w:cs="Calibri"/>
          <w:b/>
          <w:i/>
          <w:sz w:val="24"/>
          <w:szCs w:val="24"/>
        </w:rPr>
        <w:t>Le Rapport ITIE-RDC 2014 est adopté à l’unanimité moyennant  quelques améliorations notamment de l’annexe 10 que le GTS  devra proposer à l’A.I pour intégration dans la version  finale à publier.</w:t>
      </w:r>
    </w:p>
    <w:p w:rsidR="00CD34F1" w:rsidRPr="00D45B5F" w:rsidRDefault="00CD34F1" w:rsidP="00C7360A">
      <w:pPr>
        <w:pStyle w:val="Paragraphedeliste"/>
        <w:numPr>
          <w:ilvl w:val="0"/>
          <w:numId w:val="11"/>
        </w:numPr>
        <w:shd w:val="clear" w:color="auto" w:fill="E7E6E6" w:themeFill="background2"/>
        <w:jc w:val="both"/>
        <w:rPr>
          <w:rFonts w:asciiTheme="minorHAnsi" w:hAnsiTheme="minorHAnsi" w:cs="Calibri"/>
          <w:i/>
          <w:sz w:val="24"/>
          <w:szCs w:val="24"/>
        </w:rPr>
      </w:pPr>
      <w:r w:rsidRPr="00D45B5F">
        <w:rPr>
          <w:rFonts w:asciiTheme="minorHAnsi" w:hAnsiTheme="minorHAnsi" w:cs="Calibri"/>
          <w:b/>
          <w:i/>
          <w:sz w:val="24"/>
          <w:szCs w:val="24"/>
        </w:rPr>
        <w:t>Le ST ITIE est instruit  de veiller à la diligence aux fins de publier la version finale  du Rapport ITIE-RDC 2014 au plus tard le 31 décembre 2015</w:t>
      </w:r>
      <w:r w:rsidRPr="00D45B5F">
        <w:rPr>
          <w:rFonts w:asciiTheme="minorHAnsi" w:hAnsiTheme="minorHAnsi" w:cs="Calibri"/>
          <w:i/>
          <w:sz w:val="24"/>
          <w:szCs w:val="24"/>
        </w:rPr>
        <w:t>.</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Les félicitations sont adressées au Cabinet Moore Stephens et à tous ceux qui ont  contribué à l’élaboration de ce Rapport.</w:t>
      </w:r>
    </w:p>
    <w:p w:rsidR="00CD34F1" w:rsidRPr="00D45B5F" w:rsidRDefault="00CD34F1" w:rsidP="00CD34F1">
      <w:pPr>
        <w:jc w:val="both"/>
        <w:rPr>
          <w:rFonts w:asciiTheme="minorHAnsi" w:hAnsiTheme="minorHAnsi" w:cs="Calibri"/>
          <w:sz w:val="24"/>
          <w:szCs w:val="24"/>
        </w:rPr>
      </w:pPr>
      <w:r w:rsidRPr="00D45B5F">
        <w:rPr>
          <w:rFonts w:asciiTheme="minorHAnsi" w:hAnsiTheme="minorHAnsi" w:cs="Calibri"/>
          <w:sz w:val="24"/>
          <w:szCs w:val="24"/>
        </w:rPr>
        <w:t>Au titre de divers, les membres ont pris connaissance du document N° 6 relatif à l’évaluation faite par l’International au sujet des progrès accomplis dans la mise en œuvre par pays d’octobre 2014 à décembre 2015. Ils ont constaté que la RDC était parmi les rares pays membres où la mise en œuvre ne rencontrait pas assez de difficultés ce dont ils se sont félicités.</w:t>
      </w:r>
    </w:p>
    <w:p w:rsidR="00CD34F1" w:rsidRPr="00D45B5F" w:rsidRDefault="00CD34F1" w:rsidP="00304AFF">
      <w:pPr>
        <w:spacing w:after="0"/>
        <w:jc w:val="both"/>
        <w:rPr>
          <w:rFonts w:asciiTheme="minorHAnsi" w:hAnsiTheme="minorHAnsi" w:cs="Calibri"/>
          <w:b/>
          <w:sz w:val="24"/>
          <w:szCs w:val="24"/>
        </w:rPr>
      </w:pPr>
      <w:r w:rsidRPr="00D45B5F">
        <w:rPr>
          <w:rFonts w:asciiTheme="minorHAnsi" w:hAnsiTheme="minorHAnsi"/>
          <w:color w:val="333333"/>
          <w:sz w:val="24"/>
          <w:szCs w:val="24"/>
          <w:shd w:val="clear" w:color="auto" w:fill="FFFFFF"/>
        </w:rPr>
        <w:lastRenderedPageBreak/>
        <w:t>Les points inscrits étant  totalement épuisés, la réunion qui avait débuté à 15h15 a pris fin à 17h30.</w:t>
      </w:r>
    </w:p>
    <w:p w:rsidR="00CD34F1" w:rsidRPr="00D45B5F" w:rsidRDefault="00CD34F1" w:rsidP="00304AFF">
      <w:pPr>
        <w:spacing w:after="0"/>
        <w:jc w:val="both"/>
        <w:rPr>
          <w:rFonts w:asciiTheme="minorHAnsi" w:hAnsiTheme="minorHAnsi" w:cs="Calibri"/>
          <w:sz w:val="24"/>
          <w:szCs w:val="24"/>
        </w:rPr>
      </w:pPr>
      <w:r w:rsidRPr="00D45B5F">
        <w:rPr>
          <w:rFonts w:asciiTheme="minorHAnsi" w:hAnsiTheme="minorHAnsi" w:cs="Calibri"/>
          <w:sz w:val="24"/>
          <w:szCs w:val="24"/>
        </w:rPr>
        <w:t xml:space="preserve">        Le Rapporteur du C.E                                                                Le Président du Comité Exécutif</w:t>
      </w:r>
    </w:p>
    <w:p w:rsidR="00CD34F1" w:rsidRPr="00D45B5F" w:rsidRDefault="00CD34F1" w:rsidP="00304AFF">
      <w:pPr>
        <w:spacing w:after="0"/>
        <w:jc w:val="both"/>
        <w:rPr>
          <w:rFonts w:asciiTheme="minorHAnsi" w:hAnsiTheme="minorHAnsi" w:cs="Calibri"/>
          <w:sz w:val="24"/>
          <w:szCs w:val="24"/>
        </w:rPr>
      </w:pPr>
      <w:r w:rsidRPr="00D45B5F">
        <w:rPr>
          <w:rFonts w:asciiTheme="minorHAnsi" w:hAnsiTheme="minorHAnsi" w:cs="Calibri"/>
          <w:sz w:val="24"/>
          <w:szCs w:val="24"/>
        </w:rPr>
        <w:t xml:space="preserve">        Prof. MACK DUMBA                                                                            Georges WEMBI</w:t>
      </w:r>
    </w:p>
    <w:p w:rsidR="00CD34F1" w:rsidRPr="00D45B5F" w:rsidRDefault="00CD34F1" w:rsidP="00304AFF">
      <w:pPr>
        <w:spacing w:after="0"/>
        <w:jc w:val="both"/>
        <w:rPr>
          <w:rFonts w:asciiTheme="minorHAnsi" w:hAnsiTheme="minorHAnsi"/>
          <w:sz w:val="24"/>
          <w:szCs w:val="24"/>
        </w:rPr>
      </w:pPr>
      <w:r w:rsidRPr="00D45B5F">
        <w:rPr>
          <w:rFonts w:asciiTheme="minorHAnsi" w:hAnsiTheme="minorHAnsi" w:cs="Calibri"/>
          <w:sz w:val="24"/>
          <w:szCs w:val="24"/>
        </w:rPr>
        <w:t xml:space="preserve">   Coordonnateur National ITIE</w:t>
      </w:r>
      <w:r w:rsidRPr="00D45B5F">
        <w:rPr>
          <w:rFonts w:asciiTheme="minorHAnsi" w:hAnsiTheme="minorHAnsi" w:cs="Calibri"/>
          <w:sz w:val="24"/>
          <w:szCs w:val="24"/>
        </w:rPr>
        <w:tab/>
      </w:r>
      <w:r w:rsidRPr="00D45B5F">
        <w:rPr>
          <w:rFonts w:asciiTheme="minorHAnsi" w:hAnsiTheme="minorHAnsi" w:cs="Calibri"/>
          <w:sz w:val="24"/>
          <w:szCs w:val="24"/>
        </w:rPr>
        <w:tab/>
      </w:r>
      <w:r w:rsidRPr="00D45B5F">
        <w:rPr>
          <w:rFonts w:asciiTheme="minorHAnsi" w:hAnsiTheme="minorHAnsi" w:cs="Calibri"/>
          <w:sz w:val="24"/>
          <w:szCs w:val="24"/>
        </w:rPr>
        <w:tab/>
      </w:r>
      <w:r w:rsidRPr="00D45B5F">
        <w:rPr>
          <w:rFonts w:asciiTheme="minorHAnsi" w:hAnsiTheme="minorHAnsi" w:cs="Calibri"/>
          <w:sz w:val="24"/>
          <w:szCs w:val="24"/>
        </w:rPr>
        <w:tab/>
        <w:t>Ministre du Plan</w:t>
      </w:r>
    </w:p>
    <w:p w:rsidR="00E448B5" w:rsidRPr="000371B6" w:rsidRDefault="00560F2F" w:rsidP="00304AFF">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6</w:t>
      </w:r>
      <w:r w:rsidR="00E448B5">
        <w:rPr>
          <w:rFonts w:eastAsia="Times New Roman" w:cs="Calibri"/>
          <w:b/>
          <w:color w:val="FFFFFF"/>
          <w:szCs w:val="18"/>
          <w:lang w:eastAsia="fr-FR"/>
        </w:rPr>
        <w:t>8-2</w:t>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t>Kin</w:t>
      </w:r>
      <w:r>
        <w:rPr>
          <w:rFonts w:eastAsia="Times New Roman" w:cs="Calibri"/>
          <w:b/>
          <w:color w:val="FFFFFF"/>
          <w:szCs w:val="18"/>
          <w:lang w:eastAsia="fr-FR"/>
        </w:rPr>
        <w:t>shasa, le 23 mars  2016</w:t>
      </w:r>
    </w:p>
    <w:p w:rsidR="00E448B5" w:rsidRPr="001C2230" w:rsidRDefault="00560F2F" w:rsidP="004D7D45">
      <w:pPr>
        <w:pStyle w:val="Titre1"/>
        <w:shd w:val="clear" w:color="auto" w:fill="0070C0"/>
        <w:spacing w:before="0" w:line="240" w:lineRule="auto"/>
        <w:ind w:left="-1418" w:right="-1418" w:firstLine="992"/>
        <w:jc w:val="center"/>
        <w:rPr>
          <w:rFonts w:ascii="Calibri" w:hAnsi="Calibri"/>
          <w:color w:val="auto"/>
        </w:rPr>
      </w:pPr>
      <w:bookmarkStart w:id="3" w:name="_Toc488866104"/>
      <w:r w:rsidRPr="001C2230">
        <w:rPr>
          <w:rFonts w:ascii="Calibri" w:hAnsi="Calibri"/>
          <w:color w:val="auto"/>
          <w:lang w:eastAsia="fr-FR"/>
        </w:rPr>
        <w:t>PROCEDURES DE DESIGNATION, DE REMPLACEMENT ET LA DUREE DU MANDAT D</w:t>
      </w:r>
      <w:r w:rsidR="008366DB" w:rsidRPr="001C2230">
        <w:rPr>
          <w:rFonts w:ascii="Calibri" w:hAnsi="Calibri"/>
          <w:color w:val="auto"/>
          <w:lang w:eastAsia="fr-FR"/>
        </w:rPr>
        <w:t>E</w:t>
      </w:r>
      <w:r w:rsidRPr="001C2230">
        <w:rPr>
          <w:rFonts w:ascii="Calibri" w:hAnsi="Calibri"/>
          <w:color w:val="auto"/>
          <w:lang w:eastAsia="fr-FR"/>
        </w:rPr>
        <w:t>S MEMBRESDU COMITE EXECUTIF DE L’ITIE-RDC</w:t>
      </w:r>
      <w:bookmarkEnd w:id="3"/>
    </w:p>
    <w:p w:rsidR="00E448B5" w:rsidRPr="00A339FC" w:rsidRDefault="00E448B5" w:rsidP="004D7D45">
      <w:pPr>
        <w:shd w:val="clear" w:color="auto" w:fill="0070C0"/>
        <w:spacing w:after="0"/>
        <w:ind w:left="-1417" w:right="-1417"/>
        <w:jc w:val="center"/>
        <w:rPr>
          <w:b/>
        </w:rPr>
      </w:pPr>
      <w:r w:rsidRPr="00A339FC">
        <w:rPr>
          <w:b/>
        </w:rPr>
        <w:t>Par le Secrétariat Technique</w:t>
      </w:r>
    </w:p>
    <w:p w:rsidR="00E448B5" w:rsidRDefault="00E448B5" w:rsidP="00E448B5"/>
    <w:p w:rsidR="00560F2F" w:rsidRPr="005A2A28" w:rsidRDefault="00560F2F" w:rsidP="00560F2F">
      <w:pPr>
        <w:spacing w:after="0"/>
        <w:jc w:val="both"/>
        <w:rPr>
          <w:rFonts w:asciiTheme="minorHAnsi" w:hAnsiTheme="minorHAnsi" w:cs="Arial"/>
          <w:b/>
          <w:sz w:val="24"/>
          <w:szCs w:val="24"/>
        </w:rPr>
      </w:pPr>
      <w:r w:rsidRPr="005A2A28">
        <w:rPr>
          <w:rFonts w:asciiTheme="minorHAnsi" w:hAnsiTheme="minorHAnsi" w:cs="Arial"/>
          <w:b/>
          <w:sz w:val="24"/>
          <w:szCs w:val="24"/>
        </w:rPr>
        <w:t>Préambule</w:t>
      </w:r>
    </w:p>
    <w:p w:rsidR="00560F2F" w:rsidRPr="005A2A28" w:rsidRDefault="00560F2F" w:rsidP="00560F2F">
      <w:pPr>
        <w:spacing w:after="0"/>
        <w:jc w:val="both"/>
        <w:rPr>
          <w:rFonts w:asciiTheme="minorHAnsi" w:hAnsiTheme="minorHAnsi" w:cs="Arial"/>
          <w:sz w:val="24"/>
          <w:szCs w:val="24"/>
        </w:rPr>
      </w:pPr>
      <w:r w:rsidRPr="005A2A28">
        <w:rPr>
          <w:rFonts w:asciiTheme="minorHAnsi" w:hAnsiTheme="minorHAnsi" w:cs="Arial"/>
          <w:sz w:val="24"/>
          <w:szCs w:val="24"/>
        </w:rPr>
        <w:t xml:space="preserve">La désignation, le remplacement et la durée du mandat des membres du Groupe Multipartite respectent les dispositions de l’Exigence 1.4 de la Norme ITIE qui stipule que : </w:t>
      </w:r>
      <w:r w:rsidRPr="005A2A28">
        <w:rPr>
          <w:rFonts w:asciiTheme="minorHAnsi" w:hAnsiTheme="minorHAnsi" w:cs="Arial"/>
          <w:i/>
          <w:sz w:val="24"/>
          <w:szCs w:val="24"/>
        </w:rPr>
        <w:t>" … Le Groupe multipartite devra convenir des procédures de désignation et de remplacement des membres du Groupe multipartite et de la durée de leur mandat … »</w:t>
      </w:r>
    </w:p>
    <w:p w:rsidR="00560F2F" w:rsidRPr="005A2A28" w:rsidRDefault="00560F2F" w:rsidP="00560F2F">
      <w:pPr>
        <w:pStyle w:val="Paragraphedeliste"/>
        <w:jc w:val="both"/>
        <w:rPr>
          <w:rFonts w:asciiTheme="minorHAnsi" w:hAnsiTheme="minorHAnsi" w:cs="Arial"/>
          <w:sz w:val="24"/>
          <w:szCs w:val="24"/>
        </w:rPr>
      </w:pPr>
    </w:p>
    <w:p w:rsidR="00560F2F" w:rsidRPr="005A2A28" w:rsidRDefault="00560F2F" w:rsidP="00C7360A">
      <w:pPr>
        <w:pStyle w:val="Paragraphedeliste"/>
        <w:numPr>
          <w:ilvl w:val="0"/>
          <w:numId w:val="15"/>
        </w:numPr>
        <w:spacing w:after="0" w:line="276" w:lineRule="auto"/>
        <w:ind w:left="426"/>
        <w:jc w:val="both"/>
        <w:rPr>
          <w:rFonts w:asciiTheme="minorHAnsi" w:hAnsiTheme="minorHAnsi" w:cs="Arial"/>
          <w:b/>
          <w:sz w:val="24"/>
          <w:szCs w:val="24"/>
        </w:rPr>
      </w:pPr>
      <w:r w:rsidRPr="005A2A28">
        <w:rPr>
          <w:rFonts w:asciiTheme="minorHAnsi" w:hAnsiTheme="minorHAnsi" w:cs="Arial"/>
          <w:b/>
          <w:sz w:val="24"/>
          <w:szCs w:val="24"/>
          <w:u w:val="single"/>
        </w:rPr>
        <w:t xml:space="preserve">Des Procédures de désignation </w:t>
      </w:r>
    </w:p>
    <w:p w:rsidR="00560F2F" w:rsidRPr="00304AFF" w:rsidRDefault="00560F2F" w:rsidP="00560F2F">
      <w:pPr>
        <w:pStyle w:val="Paragraphedeliste"/>
        <w:spacing w:after="0" w:line="276" w:lineRule="auto"/>
        <w:ind w:left="426"/>
        <w:jc w:val="both"/>
        <w:rPr>
          <w:rFonts w:asciiTheme="minorHAnsi" w:hAnsiTheme="minorHAnsi" w:cs="Arial"/>
          <w:b/>
          <w:sz w:val="16"/>
          <w:szCs w:val="16"/>
        </w:rPr>
      </w:pPr>
    </w:p>
    <w:p w:rsidR="00304AFF" w:rsidRDefault="00560F2F" w:rsidP="00CA61F9">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304AFF">
        <w:rPr>
          <w:rFonts w:asciiTheme="minorHAnsi" w:hAnsiTheme="minorHAnsi" w:cs="Arial"/>
          <w:sz w:val="24"/>
          <w:szCs w:val="24"/>
        </w:rPr>
        <w:t>Chaque partie prenante procède à la désignation et ou au remplacement de ses représentants au sein du GMP de manière indépendante et libre d’</w:t>
      </w:r>
      <w:r w:rsidR="00304AFF">
        <w:rPr>
          <w:rFonts w:asciiTheme="minorHAnsi" w:hAnsiTheme="minorHAnsi" w:cs="Arial"/>
          <w:sz w:val="24"/>
          <w:szCs w:val="24"/>
        </w:rPr>
        <w:t>interférence ou de coercition.</w:t>
      </w:r>
      <w:r w:rsidR="00304AFF">
        <w:rPr>
          <w:rFonts w:asciiTheme="minorHAnsi" w:hAnsiTheme="minorHAnsi" w:cs="Arial"/>
          <w:sz w:val="24"/>
          <w:szCs w:val="24"/>
        </w:rPr>
        <w:tab/>
      </w:r>
    </w:p>
    <w:p w:rsidR="00304AFF" w:rsidRPr="00304AFF" w:rsidRDefault="00304AFF" w:rsidP="00304AFF">
      <w:pPr>
        <w:pStyle w:val="Paragraphedeliste"/>
        <w:tabs>
          <w:tab w:val="left" w:pos="426"/>
        </w:tabs>
        <w:spacing w:before="240" w:after="200" w:line="276" w:lineRule="auto"/>
        <w:ind w:left="928"/>
        <w:jc w:val="both"/>
        <w:rPr>
          <w:rFonts w:asciiTheme="minorHAnsi" w:hAnsiTheme="minorHAnsi" w:cs="Arial"/>
          <w:sz w:val="12"/>
          <w:szCs w:val="12"/>
        </w:rPr>
      </w:pPr>
    </w:p>
    <w:p w:rsidR="00560F2F" w:rsidRPr="00304AFF" w:rsidRDefault="00560F2F" w:rsidP="00CA61F9">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304AFF">
        <w:rPr>
          <w:rFonts w:asciiTheme="minorHAnsi" w:hAnsiTheme="minorHAnsi" w:cs="Arial"/>
          <w:sz w:val="24"/>
          <w:szCs w:val="24"/>
        </w:rPr>
        <w:t>Les procès-verbaux ou les lettres officielles de désignation des membres sont transmis au Secrétariat Technique de l’ITIE qui les présente au Comité Exécutif pour adoption.</w:t>
      </w:r>
    </w:p>
    <w:p w:rsidR="00560F2F" w:rsidRPr="00304AFF" w:rsidRDefault="00560F2F" w:rsidP="00560F2F">
      <w:pPr>
        <w:pStyle w:val="Paragraphedeliste"/>
        <w:ind w:left="1080"/>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Les membres du Gouvernement qui siègent au Comité Exécutif ITIE-RDC sont ceux désignés par le Décret portant création, organisation et fonctionnement du Comité National de l’ITIE en RDC.</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 xml:space="preserve">Les autres délégués de la composante Institutions Publiques, non expressément désignés dans le Décret précité, sont désignés officiellement par lettre officielle adressée au Secrétariat Technique de l’ITIE-RDC qui la présente au Comité Exécutif pour adoption. </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 xml:space="preserve">L’ensemble des Entreprises du Portefeuille de l’Etat du secteur extractif constitue une commission pour désigner un délégué au Comité Exécutif. </w:t>
      </w:r>
    </w:p>
    <w:p w:rsidR="00560F2F" w:rsidRPr="00304AFF" w:rsidRDefault="00560F2F" w:rsidP="00560F2F">
      <w:pPr>
        <w:pStyle w:val="Paragraphedeliste"/>
        <w:tabs>
          <w:tab w:val="left" w:pos="426"/>
        </w:tabs>
        <w:spacing w:before="240" w:line="276" w:lineRule="auto"/>
        <w:ind w:left="928"/>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Une commission mixte constituée des représentants des entreprises privées, membres de la Chambre des mines et non membres procède à la désignation de deux délégués au Comité Exécutif.</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Le représentant des entreprises des hydrocarbures est désigné par la Corporation de la profession.</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lastRenderedPageBreak/>
        <w:t>Le représentant des entreprises forestières est désigné par la Fédération des Industries du Bois.</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Les représentants de la société civile sont désignés par leurs pairs, qui représentent les organisations de la société civile spécialisées dans le domaine de la gestion des ressources naturelles.</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C7360A">
      <w:pPr>
        <w:pStyle w:val="Paragraphedeliste"/>
        <w:numPr>
          <w:ilvl w:val="0"/>
          <w:numId w:val="14"/>
        </w:numPr>
        <w:tabs>
          <w:tab w:val="left" w:pos="426"/>
        </w:tabs>
        <w:spacing w:before="240" w:after="200" w:line="276" w:lineRule="auto"/>
        <w:ind w:hanging="654"/>
        <w:jc w:val="both"/>
        <w:rPr>
          <w:rFonts w:asciiTheme="minorHAnsi" w:hAnsiTheme="minorHAnsi" w:cs="Arial"/>
          <w:sz w:val="24"/>
          <w:szCs w:val="24"/>
        </w:rPr>
      </w:pPr>
      <w:r w:rsidRPr="005A2A28">
        <w:rPr>
          <w:rFonts w:asciiTheme="minorHAnsi" w:hAnsiTheme="minorHAnsi" w:cs="Arial"/>
          <w:sz w:val="24"/>
          <w:szCs w:val="24"/>
        </w:rPr>
        <w:t>Les représentants de la société civile devront provenir de :</w:t>
      </w:r>
    </w:p>
    <w:p w:rsidR="00560F2F" w:rsidRPr="00304AFF" w:rsidRDefault="00560F2F" w:rsidP="00560F2F">
      <w:pPr>
        <w:pStyle w:val="Paragraphedeliste"/>
        <w:jc w:val="both"/>
        <w:rPr>
          <w:rFonts w:asciiTheme="minorHAnsi" w:hAnsiTheme="minorHAnsi" w:cs="Arial"/>
          <w:sz w:val="12"/>
          <w:szCs w:val="12"/>
        </w:rPr>
      </w:pPr>
    </w:p>
    <w:p w:rsidR="00560F2F" w:rsidRPr="005A2A28" w:rsidRDefault="00560F2F" w:rsidP="00560F2F">
      <w:pPr>
        <w:pStyle w:val="Paragraphedeliste"/>
        <w:tabs>
          <w:tab w:val="left" w:pos="426"/>
        </w:tabs>
        <w:spacing w:before="240"/>
        <w:ind w:left="1843" w:hanging="763"/>
        <w:jc w:val="both"/>
        <w:rPr>
          <w:rFonts w:asciiTheme="minorHAnsi" w:hAnsiTheme="minorHAnsi" w:cs="Arial"/>
          <w:sz w:val="24"/>
          <w:szCs w:val="24"/>
        </w:rPr>
      </w:pPr>
      <w:r w:rsidRPr="005A2A28">
        <w:rPr>
          <w:rFonts w:asciiTheme="minorHAnsi" w:hAnsiTheme="minorHAnsi" w:cs="Arial"/>
          <w:sz w:val="24"/>
          <w:szCs w:val="24"/>
        </w:rPr>
        <w:t>1.10.1. ONG du secteur minier à raison de trois (03) délégués ;</w:t>
      </w:r>
    </w:p>
    <w:p w:rsidR="00560F2F" w:rsidRPr="005A2A28" w:rsidRDefault="00560F2F" w:rsidP="00560F2F">
      <w:pPr>
        <w:pStyle w:val="Paragraphedeliste"/>
        <w:tabs>
          <w:tab w:val="left" w:pos="426"/>
        </w:tabs>
        <w:spacing w:before="240"/>
        <w:ind w:left="1080"/>
        <w:jc w:val="both"/>
        <w:rPr>
          <w:rFonts w:asciiTheme="minorHAnsi" w:hAnsiTheme="minorHAnsi" w:cs="Arial"/>
          <w:sz w:val="24"/>
          <w:szCs w:val="24"/>
        </w:rPr>
      </w:pPr>
      <w:r w:rsidRPr="005A2A28">
        <w:rPr>
          <w:rFonts w:asciiTheme="minorHAnsi" w:hAnsiTheme="minorHAnsi" w:cs="Arial"/>
          <w:sz w:val="24"/>
          <w:szCs w:val="24"/>
        </w:rPr>
        <w:t>1.10.2. ONG du secteur des hydrocarbures à raison d’un (01) délégué ;</w:t>
      </w:r>
    </w:p>
    <w:p w:rsidR="00560F2F" w:rsidRPr="005A2A28" w:rsidRDefault="00560F2F" w:rsidP="00560F2F">
      <w:pPr>
        <w:pStyle w:val="Paragraphedeliste"/>
        <w:tabs>
          <w:tab w:val="left" w:pos="426"/>
        </w:tabs>
        <w:spacing w:before="240"/>
        <w:ind w:left="1080"/>
        <w:jc w:val="both"/>
        <w:rPr>
          <w:rFonts w:asciiTheme="minorHAnsi" w:hAnsiTheme="minorHAnsi" w:cs="Arial"/>
          <w:sz w:val="24"/>
          <w:szCs w:val="24"/>
        </w:rPr>
      </w:pPr>
      <w:r w:rsidRPr="005A2A28">
        <w:rPr>
          <w:rFonts w:asciiTheme="minorHAnsi" w:hAnsiTheme="minorHAnsi" w:cs="Arial"/>
          <w:sz w:val="24"/>
          <w:szCs w:val="24"/>
        </w:rPr>
        <w:t>1.10.3. ONG du secteur forestier à raison d’un (01) délégué.</w:t>
      </w:r>
    </w:p>
    <w:p w:rsidR="00560F2F" w:rsidRPr="00304AFF" w:rsidRDefault="00560F2F" w:rsidP="00560F2F">
      <w:pPr>
        <w:pStyle w:val="Paragraphedeliste"/>
        <w:tabs>
          <w:tab w:val="left" w:pos="426"/>
        </w:tabs>
        <w:spacing w:before="240"/>
        <w:ind w:left="1080"/>
        <w:jc w:val="both"/>
        <w:rPr>
          <w:rFonts w:asciiTheme="minorHAnsi" w:hAnsiTheme="minorHAnsi" w:cs="Arial"/>
          <w:sz w:val="16"/>
          <w:szCs w:val="16"/>
        </w:rPr>
      </w:pPr>
    </w:p>
    <w:p w:rsidR="00560F2F" w:rsidRPr="005A2A28" w:rsidRDefault="00560F2F" w:rsidP="00C7360A">
      <w:pPr>
        <w:pStyle w:val="Paragraphedeliste"/>
        <w:numPr>
          <w:ilvl w:val="0"/>
          <w:numId w:val="15"/>
        </w:numPr>
        <w:spacing w:before="240" w:after="0" w:line="276" w:lineRule="auto"/>
        <w:ind w:left="284"/>
        <w:jc w:val="both"/>
        <w:rPr>
          <w:rFonts w:asciiTheme="minorHAnsi" w:hAnsiTheme="minorHAnsi" w:cs="Arial"/>
          <w:b/>
          <w:sz w:val="24"/>
          <w:szCs w:val="24"/>
          <w:u w:val="single"/>
        </w:rPr>
      </w:pPr>
      <w:r w:rsidRPr="005A2A28">
        <w:rPr>
          <w:rFonts w:asciiTheme="minorHAnsi" w:hAnsiTheme="minorHAnsi" w:cs="Arial"/>
          <w:b/>
          <w:sz w:val="24"/>
          <w:szCs w:val="24"/>
          <w:u w:val="single"/>
        </w:rPr>
        <w:t xml:space="preserve">Des Procédures de remplacement </w:t>
      </w:r>
    </w:p>
    <w:p w:rsidR="00560F2F" w:rsidRPr="00304AFF" w:rsidRDefault="00560F2F" w:rsidP="00560F2F">
      <w:pPr>
        <w:pStyle w:val="Paragraphedeliste"/>
        <w:spacing w:before="240" w:after="0" w:line="276" w:lineRule="auto"/>
        <w:ind w:left="284"/>
        <w:jc w:val="both"/>
        <w:rPr>
          <w:rFonts w:asciiTheme="minorHAnsi" w:hAnsiTheme="minorHAnsi" w:cs="Arial"/>
          <w:b/>
          <w:sz w:val="16"/>
          <w:szCs w:val="16"/>
          <w:u w:val="single"/>
        </w:rPr>
      </w:pPr>
    </w:p>
    <w:p w:rsidR="00560F2F" w:rsidRPr="005A2A28" w:rsidRDefault="00560F2F" w:rsidP="00C7360A">
      <w:pPr>
        <w:pStyle w:val="Paragraphedeliste"/>
        <w:numPr>
          <w:ilvl w:val="1"/>
          <w:numId w:val="16"/>
        </w:numPr>
        <w:spacing w:before="240" w:after="0" w:line="276" w:lineRule="auto"/>
        <w:jc w:val="both"/>
        <w:rPr>
          <w:rFonts w:asciiTheme="minorHAnsi" w:hAnsiTheme="minorHAnsi" w:cs="Arial"/>
          <w:sz w:val="24"/>
          <w:szCs w:val="24"/>
        </w:rPr>
      </w:pPr>
      <w:r w:rsidRPr="005A2A28">
        <w:rPr>
          <w:rFonts w:asciiTheme="minorHAnsi" w:hAnsiTheme="minorHAnsi" w:cs="Arial"/>
          <w:sz w:val="24"/>
          <w:szCs w:val="24"/>
        </w:rPr>
        <w:t>Les membres des Institutions publiques au sein du Comité Exécutif  sont remplacés lorsqu’ils quittent leurs Institutions ou pour le Gouvernement, lorsqu’ils quittent le ministère faisant partie du GMP.</w:t>
      </w:r>
    </w:p>
    <w:p w:rsidR="00560F2F" w:rsidRPr="00304AFF" w:rsidRDefault="00560F2F" w:rsidP="00560F2F">
      <w:pPr>
        <w:pStyle w:val="Paragraphedeliste"/>
        <w:spacing w:before="240" w:after="0" w:line="276" w:lineRule="auto"/>
        <w:ind w:left="1080"/>
        <w:jc w:val="both"/>
        <w:rPr>
          <w:rFonts w:asciiTheme="minorHAnsi" w:hAnsiTheme="minorHAnsi" w:cs="Arial"/>
          <w:sz w:val="16"/>
          <w:szCs w:val="16"/>
        </w:rPr>
      </w:pPr>
    </w:p>
    <w:p w:rsidR="00560F2F" w:rsidRPr="005A2A28" w:rsidRDefault="00560F2F" w:rsidP="00C7360A">
      <w:pPr>
        <w:pStyle w:val="Paragraphedeliste"/>
        <w:numPr>
          <w:ilvl w:val="1"/>
          <w:numId w:val="16"/>
        </w:numPr>
        <w:spacing w:before="240" w:after="0" w:line="276" w:lineRule="auto"/>
        <w:jc w:val="both"/>
        <w:rPr>
          <w:rFonts w:asciiTheme="minorHAnsi" w:hAnsiTheme="minorHAnsi" w:cs="Arial"/>
          <w:sz w:val="24"/>
          <w:szCs w:val="24"/>
        </w:rPr>
      </w:pPr>
      <w:r w:rsidRPr="005A2A28">
        <w:rPr>
          <w:rFonts w:asciiTheme="minorHAnsi" w:hAnsiTheme="minorHAnsi" w:cs="Arial"/>
          <w:sz w:val="24"/>
          <w:szCs w:val="24"/>
        </w:rPr>
        <w:t>Les collèges des Entreprises et de la Société Civile mettent en place et publient leurs propres mécanismes de remplacement de leurs membres en respectant la disposition 3.2. des présentes procédures relatives à la durée de mandat.</w:t>
      </w:r>
    </w:p>
    <w:p w:rsidR="00560F2F" w:rsidRPr="00304AFF" w:rsidRDefault="00560F2F" w:rsidP="00560F2F">
      <w:pPr>
        <w:pStyle w:val="Paragraphedeliste"/>
        <w:jc w:val="both"/>
        <w:rPr>
          <w:rFonts w:asciiTheme="minorHAnsi" w:hAnsiTheme="minorHAnsi" w:cs="Arial"/>
          <w:sz w:val="16"/>
          <w:szCs w:val="16"/>
        </w:rPr>
      </w:pPr>
    </w:p>
    <w:p w:rsidR="00560F2F" w:rsidRPr="005A2A28" w:rsidRDefault="00560F2F" w:rsidP="00C7360A">
      <w:pPr>
        <w:pStyle w:val="Paragraphedeliste"/>
        <w:numPr>
          <w:ilvl w:val="0"/>
          <w:numId w:val="15"/>
        </w:numPr>
        <w:spacing w:after="0" w:line="276" w:lineRule="auto"/>
        <w:jc w:val="both"/>
        <w:rPr>
          <w:rFonts w:asciiTheme="minorHAnsi" w:hAnsiTheme="minorHAnsi" w:cs="Arial"/>
          <w:b/>
          <w:sz w:val="24"/>
          <w:szCs w:val="24"/>
          <w:u w:val="single"/>
        </w:rPr>
      </w:pPr>
      <w:r w:rsidRPr="005A2A28">
        <w:rPr>
          <w:rFonts w:asciiTheme="minorHAnsi" w:hAnsiTheme="minorHAnsi" w:cs="Arial"/>
          <w:b/>
          <w:sz w:val="24"/>
          <w:szCs w:val="24"/>
          <w:u w:val="single"/>
        </w:rPr>
        <w:t xml:space="preserve">De la durée des mandats </w:t>
      </w:r>
    </w:p>
    <w:p w:rsidR="00560F2F" w:rsidRPr="00304AFF" w:rsidRDefault="00560F2F" w:rsidP="00560F2F">
      <w:pPr>
        <w:pStyle w:val="Paragraphedeliste"/>
        <w:spacing w:after="0"/>
        <w:ind w:left="360"/>
        <w:jc w:val="both"/>
        <w:rPr>
          <w:rFonts w:asciiTheme="minorHAnsi" w:hAnsiTheme="minorHAnsi" w:cs="Arial"/>
          <w:b/>
          <w:sz w:val="16"/>
          <w:szCs w:val="16"/>
          <w:u w:val="single"/>
        </w:rPr>
      </w:pPr>
    </w:p>
    <w:p w:rsidR="00560F2F" w:rsidRPr="005A2A28" w:rsidRDefault="00560F2F" w:rsidP="00C7360A">
      <w:pPr>
        <w:pStyle w:val="Paragraphedeliste"/>
        <w:numPr>
          <w:ilvl w:val="1"/>
          <w:numId w:val="18"/>
        </w:numPr>
        <w:spacing w:after="200" w:line="276" w:lineRule="auto"/>
        <w:jc w:val="both"/>
        <w:rPr>
          <w:rFonts w:asciiTheme="minorHAnsi" w:hAnsiTheme="minorHAnsi" w:cs="Arial"/>
          <w:sz w:val="24"/>
          <w:szCs w:val="24"/>
        </w:rPr>
      </w:pPr>
      <w:r w:rsidRPr="005A2A28">
        <w:rPr>
          <w:rFonts w:asciiTheme="minorHAnsi" w:hAnsiTheme="minorHAnsi" w:cs="Arial"/>
          <w:sz w:val="24"/>
          <w:szCs w:val="24"/>
        </w:rPr>
        <w:t>La durée des mandats des membres des Institutions publiques est conforme aux dispositions 2.1 des présentes procédures.</w:t>
      </w:r>
    </w:p>
    <w:p w:rsidR="00560F2F" w:rsidRPr="00304AFF" w:rsidRDefault="00560F2F" w:rsidP="00CA61F9">
      <w:pPr>
        <w:pStyle w:val="Paragraphedeliste"/>
        <w:numPr>
          <w:ilvl w:val="0"/>
          <w:numId w:val="15"/>
        </w:numPr>
        <w:spacing w:after="0" w:line="276" w:lineRule="auto"/>
        <w:jc w:val="both"/>
        <w:rPr>
          <w:rFonts w:asciiTheme="minorHAnsi" w:hAnsiTheme="minorHAnsi" w:cs="Arial"/>
          <w:b/>
          <w:sz w:val="24"/>
          <w:szCs w:val="24"/>
          <w:u w:val="single"/>
        </w:rPr>
      </w:pPr>
      <w:r w:rsidRPr="00304AFF">
        <w:rPr>
          <w:rFonts w:asciiTheme="minorHAnsi" w:hAnsiTheme="minorHAnsi" w:cs="Arial"/>
          <w:sz w:val="24"/>
          <w:szCs w:val="24"/>
        </w:rPr>
        <w:t>La durée des  mandats au sein du Comité Exécutif des représentants des collèges des industries extractives et de la société Civile est de trois ans</w:t>
      </w:r>
      <w:r w:rsidR="00304AFF" w:rsidRPr="00304AFF">
        <w:rPr>
          <w:rFonts w:asciiTheme="minorHAnsi" w:hAnsiTheme="minorHAnsi" w:cs="Arial"/>
          <w:sz w:val="24"/>
          <w:szCs w:val="24"/>
        </w:rPr>
        <w:t>, renouvelable une seule fois.</w:t>
      </w:r>
      <w:r w:rsidR="00304AFF" w:rsidRPr="00304AFF">
        <w:rPr>
          <w:rFonts w:asciiTheme="minorHAnsi" w:hAnsiTheme="minorHAnsi" w:cs="Arial"/>
          <w:sz w:val="24"/>
          <w:szCs w:val="24"/>
        </w:rPr>
        <w:tab/>
      </w:r>
    </w:p>
    <w:p w:rsidR="00304AFF" w:rsidRPr="00304AFF" w:rsidRDefault="00304AFF" w:rsidP="00304AFF">
      <w:pPr>
        <w:pStyle w:val="Paragraphedeliste"/>
        <w:spacing w:after="0" w:line="276" w:lineRule="auto"/>
        <w:jc w:val="both"/>
        <w:rPr>
          <w:rFonts w:asciiTheme="minorHAnsi" w:hAnsiTheme="minorHAnsi" w:cs="Arial"/>
          <w:b/>
          <w:sz w:val="16"/>
          <w:szCs w:val="16"/>
          <w:u w:val="single"/>
        </w:rPr>
      </w:pPr>
    </w:p>
    <w:p w:rsidR="00560F2F" w:rsidRPr="005A2A28" w:rsidRDefault="00560F2F" w:rsidP="00C7360A">
      <w:pPr>
        <w:pStyle w:val="Paragraphedeliste"/>
        <w:numPr>
          <w:ilvl w:val="0"/>
          <w:numId w:val="15"/>
        </w:numPr>
        <w:spacing w:after="0" w:line="276" w:lineRule="auto"/>
        <w:jc w:val="both"/>
        <w:rPr>
          <w:rFonts w:asciiTheme="minorHAnsi" w:hAnsiTheme="minorHAnsi" w:cs="Arial"/>
          <w:b/>
          <w:sz w:val="24"/>
          <w:szCs w:val="24"/>
          <w:u w:val="single"/>
        </w:rPr>
      </w:pPr>
      <w:r w:rsidRPr="005A2A28">
        <w:rPr>
          <w:rFonts w:asciiTheme="minorHAnsi" w:hAnsiTheme="minorHAnsi" w:cs="Arial"/>
          <w:b/>
          <w:sz w:val="24"/>
          <w:szCs w:val="24"/>
          <w:u w:val="single"/>
        </w:rPr>
        <w:t>De la modification</w:t>
      </w:r>
    </w:p>
    <w:p w:rsidR="00560F2F" w:rsidRPr="00304AFF" w:rsidRDefault="00560F2F" w:rsidP="00560F2F">
      <w:pPr>
        <w:pStyle w:val="Paragraphedeliste"/>
        <w:spacing w:after="0" w:line="276" w:lineRule="auto"/>
        <w:jc w:val="both"/>
        <w:rPr>
          <w:rFonts w:asciiTheme="minorHAnsi" w:hAnsiTheme="minorHAnsi" w:cs="Arial"/>
          <w:b/>
          <w:sz w:val="16"/>
          <w:szCs w:val="16"/>
          <w:u w:val="single"/>
        </w:rPr>
      </w:pPr>
    </w:p>
    <w:p w:rsidR="00560F2F" w:rsidRPr="005A2A28" w:rsidRDefault="00560F2F" w:rsidP="00560F2F">
      <w:pPr>
        <w:pStyle w:val="Paragraphedeliste"/>
        <w:spacing w:after="0" w:line="276" w:lineRule="auto"/>
        <w:jc w:val="both"/>
        <w:rPr>
          <w:rFonts w:asciiTheme="minorHAnsi" w:hAnsiTheme="minorHAnsi" w:cs="Arial"/>
          <w:sz w:val="24"/>
          <w:szCs w:val="24"/>
        </w:rPr>
      </w:pPr>
      <w:r w:rsidRPr="005A2A28">
        <w:rPr>
          <w:rFonts w:asciiTheme="minorHAnsi" w:hAnsiTheme="minorHAnsi" w:cs="Arial"/>
          <w:sz w:val="24"/>
          <w:szCs w:val="24"/>
        </w:rPr>
        <w:t>Les présentes procédures peuvent être modifiées, si nécessaire, tous les trois ans à la demande consensuelle du Comité Exécutif.</w:t>
      </w:r>
    </w:p>
    <w:p w:rsidR="00560F2F" w:rsidRPr="00304AFF" w:rsidRDefault="00560F2F" w:rsidP="00560F2F">
      <w:pPr>
        <w:pStyle w:val="Paragraphedeliste"/>
        <w:rPr>
          <w:rFonts w:asciiTheme="minorHAnsi" w:hAnsiTheme="minorHAnsi" w:cs="Arial"/>
          <w:sz w:val="16"/>
          <w:szCs w:val="16"/>
        </w:rPr>
      </w:pPr>
    </w:p>
    <w:p w:rsidR="00560F2F" w:rsidRPr="005A2A28" w:rsidRDefault="00560F2F" w:rsidP="00C7360A">
      <w:pPr>
        <w:pStyle w:val="Paragraphedeliste"/>
        <w:numPr>
          <w:ilvl w:val="0"/>
          <w:numId w:val="15"/>
        </w:numPr>
        <w:spacing w:after="0" w:line="276" w:lineRule="auto"/>
        <w:jc w:val="both"/>
        <w:rPr>
          <w:rFonts w:asciiTheme="minorHAnsi" w:hAnsiTheme="minorHAnsi" w:cs="Arial"/>
          <w:b/>
          <w:sz w:val="24"/>
          <w:szCs w:val="24"/>
          <w:u w:val="single"/>
        </w:rPr>
      </w:pPr>
      <w:r w:rsidRPr="005A2A28">
        <w:rPr>
          <w:rFonts w:asciiTheme="minorHAnsi" w:hAnsiTheme="minorHAnsi" w:cs="Arial"/>
          <w:b/>
          <w:sz w:val="24"/>
          <w:szCs w:val="24"/>
          <w:u w:val="single"/>
        </w:rPr>
        <w:t>De la mise en vigueur des procédures</w:t>
      </w:r>
    </w:p>
    <w:p w:rsidR="00560F2F" w:rsidRPr="00304AFF" w:rsidRDefault="00560F2F" w:rsidP="00560F2F">
      <w:pPr>
        <w:pStyle w:val="Paragraphedeliste"/>
        <w:spacing w:after="0" w:line="276" w:lineRule="auto"/>
        <w:jc w:val="both"/>
        <w:rPr>
          <w:rFonts w:asciiTheme="minorHAnsi" w:hAnsiTheme="minorHAnsi" w:cs="Arial"/>
          <w:b/>
          <w:sz w:val="16"/>
          <w:szCs w:val="16"/>
          <w:u w:val="single"/>
        </w:rPr>
      </w:pPr>
    </w:p>
    <w:p w:rsidR="00560F2F" w:rsidRPr="005A2A28" w:rsidRDefault="00560F2F" w:rsidP="00560F2F">
      <w:pPr>
        <w:pStyle w:val="Paragraphedeliste"/>
        <w:spacing w:after="0" w:line="276" w:lineRule="auto"/>
        <w:jc w:val="both"/>
        <w:rPr>
          <w:rFonts w:asciiTheme="minorHAnsi" w:hAnsiTheme="minorHAnsi" w:cs="Arial"/>
          <w:sz w:val="24"/>
          <w:szCs w:val="24"/>
        </w:rPr>
      </w:pPr>
      <w:r w:rsidRPr="005A2A28">
        <w:rPr>
          <w:rFonts w:asciiTheme="minorHAnsi" w:hAnsiTheme="minorHAnsi" w:cs="Arial"/>
          <w:sz w:val="24"/>
          <w:szCs w:val="24"/>
        </w:rPr>
        <w:t>Les présentes procédures qui entrent en vigueur à la date de leur adoption par le Comité Exécutif de l’ITIE-RDC.</w:t>
      </w:r>
    </w:p>
    <w:p w:rsidR="00560F2F" w:rsidRPr="00304AFF" w:rsidRDefault="00560F2F" w:rsidP="00560F2F">
      <w:pPr>
        <w:pStyle w:val="Paragraphedeliste"/>
        <w:spacing w:after="0" w:line="276" w:lineRule="auto"/>
        <w:jc w:val="both"/>
        <w:rPr>
          <w:rFonts w:asciiTheme="minorHAnsi" w:hAnsiTheme="minorHAnsi" w:cs="Arial"/>
          <w:sz w:val="16"/>
          <w:szCs w:val="16"/>
        </w:rPr>
      </w:pPr>
    </w:p>
    <w:p w:rsidR="00560F2F" w:rsidRPr="005A2A28" w:rsidRDefault="00560F2F" w:rsidP="00C7360A">
      <w:pPr>
        <w:pStyle w:val="Paragraphedeliste"/>
        <w:numPr>
          <w:ilvl w:val="0"/>
          <w:numId w:val="15"/>
        </w:numPr>
        <w:spacing w:after="0" w:line="276" w:lineRule="auto"/>
        <w:jc w:val="both"/>
        <w:rPr>
          <w:rFonts w:asciiTheme="minorHAnsi" w:hAnsiTheme="minorHAnsi" w:cs="Arial"/>
          <w:b/>
          <w:sz w:val="24"/>
          <w:szCs w:val="24"/>
          <w:u w:val="single"/>
        </w:rPr>
      </w:pPr>
      <w:r w:rsidRPr="005A2A28">
        <w:rPr>
          <w:rFonts w:asciiTheme="minorHAnsi" w:hAnsiTheme="minorHAnsi" w:cs="Arial"/>
          <w:b/>
          <w:sz w:val="24"/>
          <w:szCs w:val="24"/>
          <w:u w:val="single"/>
        </w:rPr>
        <w:t>Des dispositions transitoires</w:t>
      </w:r>
    </w:p>
    <w:p w:rsidR="00560F2F" w:rsidRPr="00304AFF" w:rsidRDefault="00560F2F" w:rsidP="00560F2F">
      <w:pPr>
        <w:pStyle w:val="Paragraphedeliste"/>
        <w:spacing w:after="0" w:line="276" w:lineRule="auto"/>
        <w:jc w:val="both"/>
        <w:rPr>
          <w:rFonts w:asciiTheme="minorHAnsi" w:hAnsiTheme="minorHAnsi" w:cs="Arial"/>
          <w:b/>
          <w:sz w:val="16"/>
          <w:szCs w:val="24"/>
          <w:u w:val="single"/>
        </w:rPr>
      </w:pPr>
    </w:p>
    <w:p w:rsidR="00560F2F" w:rsidRPr="005A2A28" w:rsidRDefault="00560F2F" w:rsidP="00560F2F">
      <w:pPr>
        <w:pStyle w:val="Paragraphedeliste"/>
        <w:spacing w:line="276" w:lineRule="auto"/>
        <w:jc w:val="both"/>
        <w:rPr>
          <w:rFonts w:asciiTheme="minorHAnsi" w:hAnsiTheme="minorHAnsi" w:cs="Arial"/>
          <w:sz w:val="24"/>
          <w:szCs w:val="24"/>
        </w:rPr>
      </w:pPr>
      <w:r w:rsidRPr="005A2A28">
        <w:rPr>
          <w:rFonts w:asciiTheme="minorHAnsi" w:hAnsiTheme="minorHAnsi" w:cs="Arial"/>
          <w:sz w:val="24"/>
          <w:szCs w:val="24"/>
        </w:rPr>
        <w:t>A compter de la date d'adoption des présentes procédures, les collèges des Entreprises et de la Société Civile disposent  de 12 mois pour procéder à la désignation et / ou au remplacement de leurs délégués.</w:t>
      </w:r>
    </w:p>
    <w:p w:rsidR="00560F2F" w:rsidRPr="005A2A28" w:rsidRDefault="00560F2F" w:rsidP="00560F2F">
      <w:pPr>
        <w:jc w:val="right"/>
        <w:rPr>
          <w:rFonts w:asciiTheme="minorHAnsi" w:hAnsiTheme="minorHAnsi" w:cs="Arial"/>
          <w:sz w:val="24"/>
          <w:szCs w:val="24"/>
        </w:rPr>
      </w:pPr>
      <w:r w:rsidRPr="005A2A28">
        <w:rPr>
          <w:rFonts w:asciiTheme="minorHAnsi" w:hAnsiTheme="minorHAnsi" w:cs="Arial"/>
          <w:sz w:val="24"/>
          <w:szCs w:val="24"/>
        </w:rPr>
        <w:lastRenderedPageBreak/>
        <w:t>Adoptées à Kinshasa, le 23 mars 2016</w:t>
      </w:r>
    </w:p>
    <w:p w:rsidR="00E448B5" w:rsidRPr="00304AFF" w:rsidRDefault="00560F2F" w:rsidP="00E448B5">
      <w:pPr>
        <w:rPr>
          <w:rFonts w:asciiTheme="minorHAnsi" w:hAnsiTheme="minorHAnsi" w:cs="Arial"/>
          <w:sz w:val="24"/>
          <w:szCs w:val="24"/>
        </w:rPr>
      </w:pPr>
      <w:r w:rsidRPr="005A2A28">
        <w:rPr>
          <w:rFonts w:asciiTheme="minorHAnsi" w:hAnsiTheme="minorHAnsi" w:cs="Arial"/>
          <w:sz w:val="24"/>
          <w:szCs w:val="24"/>
        </w:rPr>
        <w:t>Liste des Membres présents et signature</w:t>
      </w:r>
      <w:bookmarkStart w:id="4" w:name="_Toc421776918"/>
    </w:p>
    <w:p w:rsidR="00E448B5" w:rsidRPr="000371B6" w:rsidRDefault="00E448B5" w:rsidP="00304AFF">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w:t>
      </w:r>
      <w:r w:rsidR="008366DB">
        <w:rPr>
          <w:rFonts w:eastAsia="Times New Roman" w:cs="Calibri"/>
          <w:b/>
          <w:color w:val="FFFFFF"/>
          <w:szCs w:val="18"/>
          <w:lang w:eastAsia="fr-FR"/>
        </w:rPr>
        <w:t xml:space="preserve"> du CE 68-3</w:t>
      </w:r>
      <w:r w:rsidR="008366DB">
        <w:rPr>
          <w:rFonts w:eastAsia="Times New Roman" w:cs="Calibri"/>
          <w:b/>
          <w:color w:val="FFFFFF"/>
          <w:szCs w:val="18"/>
          <w:lang w:eastAsia="fr-FR"/>
        </w:rPr>
        <w:tab/>
      </w:r>
      <w:r w:rsidR="008366DB">
        <w:rPr>
          <w:rFonts w:eastAsia="Times New Roman" w:cs="Calibri"/>
          <w:b/>
          <w:color w:val="FFFFFF"/>
          <w:szCs w:val="18"/>
          <w:lang w:eastAsia="fr-FR"/>
        </w:rPr>
        <w:tab/>
      </w:r>
      <w:r w:rsidR="008366DB">
        <w:rPr>
          <w:rFonts w:eastAsia="Times New Roman" w:cs="Calibri"/>
          <w:b/>
          <w:color w:val="FFFFFF"/>
          <w:szCs w:val="18"/>
          <w:lang w:eastAsia="fr-FR"/>
        </w:rPr>
        <w:tab/>
      </w:r>
      <w:r w:rsidR="008366DB">
        <w:rPr>
          <w:rFonts w:eastAsia="Times New Roman" w:cs="Calibri"/>
          <w:b/>
          <w:color w:val="FFFFFF"/>
          <w:szCs w:val="18"/>
          <w:lang w:eastAsia="fr-FR"/>
        </w:rPr>
        <w:tab/>
      </w:r>
      <w:r w:rsidR="008366DB">
        <w:rPr>
          <w:rFonts w:eastAsia="Times New Roman" w:cs="Calibri"/>
          <w:b/>
          <w:color w:val="FFFFFF"/>
          <w:szCs w:val="18"/>
          <w:lang w:eastAsia="fr-FR"/>
        </w:rPr>
        <w:tab/>
      </w:r>
      <w:r w:rsidR="008366DB">
        <w:rPr>
          <w:rFonts w:eastAsia="Times New Roman" w:cs="Calibri"/>
          <w:b/>
          <w:color w:val="FFFFFF"/>
          <w:szCs w:val="18"/>
          <w:lang w:eastAsia="fr-FR"/>
        </w:rPr>
        <w:tab/>
        <w:t>Kinshasa, le 23 mars 2016</w:t>
      </w:r>
    </w:p>
    <w:p w:rsidR="00E448B5" w:rsidRPr="001C2230" w:rsidRDefault="001E577A" w:rsidP="004D7D45">
      <w:pPr>
        <w:pStyle w:val="Titre1"/>
        <w:shd w:val="clear" w:color="auto" w:fill="0070C0"/>
        <w:spacing w:before="0" w:line="240" w:lineRule="auto"/>
        <w:ind w:left="-1418" w:right="-1418" w:firstLine="1134"/>
        <w:jc w:val="center"/>
        <w:rPr>
          <w:rFonts w:ascii="Calibri" w:hAnsi="Calibri"/>
          <w:color w:val="auto"/>
        </w:rPr>
      </w:pPr>
      <w:bookmarkStart w:id="5" w:name="_Toc488866105"/>
      <w:r w:rsidRPr="001C2230">
        <w:rPr>
          <w:rFonts w:ascii="Calibri" w:hAnsi="Calibri"/>
          <w:color w:val="auto"/>
        </w:rPr>
        <w:t xml:space="preserve">EXPOSE DES MOTIFS POUR L’ELABORATION DU RAPPORT PILOTE </w:t>
      </w:r>
      <w:r w:rsidR="00FE7EBF" w:rsidRPr="001C2230">
        <w:rPr>
          <w:rFonts w:ascii="Calibri" w:hAnsi="Calibri"/>
          <w:color w:val="auto"/>
        </w:rPr>
        <w:t>ITIE-RDC 2014 DU SECTEUR MINIER ARTISANAL ET DU SECTEUR FORESTIER</w:t>
      </w:r>
      <w:bookmarkEnd w:id="5"/>
    </w:p>
    <w:p w:rsidR="00E448B5" w:rsidRPr="00A339FC" w:rsidRDefault="00E448B5" w:rsidP="00304AFF">
      <w:pPr>
        <w:shd w:val="clear" w:color="auto" w:fill="0070C0"/>
        <w:ind w:left="-1418" w:right="-1417"/>
        <w:jc w:val="center"/>
        <w:rPr>
          <w:b/>
        </w:rPr>
      </w:pPr>
      <w:r w:rsidRPr="00A339FC">
        <w:rPr>
          <w:b/>
        </w:rPr>
        <w:t>Par le Secrétariat Technique</w:t>
      </w:r>
    </w:p>
    <w:bookmarkEnd w:id="4"/>
    <w:p w:rsidR="00FE7EBF" w:rsidRPr="00BC5F97" w:rsidRDefault="00FE7EBF" w:rsidP="00FE7EBF">
      <w:pPr>
        <w:jc w:val="both"/>
        <w:rPr>
          <w:rFonts w:asciiTheme="minorHAnsi" w:hAnsiTheme="minorHAnsi"/>
          <w:i/>
          <w:sz w:val="24"/>
          <w:szCs w:val="24"/>
        </w:rPr>
      </w:pPr>
      <w:r w:rsidRPr="00BC5F97">
        <w:rPr>
          <w:rFonts w:asciiTheme="minorHAnsi" w:hAnsiTheme="minorHAnsi"/>
          <w:b/>
          <w:color w:val="0070C0"/>
          <w:sz w:val="24"/>
          <w:szCs w:val="24"/>
        </w:rPr>
        <w:t>I. Introduction</w:t>
      </w:r>
    </w:p>
    <w:p w:rsidR="00FE7EBF" w:rsidRPr="00BC5F97" w:rsidRDefault="00FE7EBF" w:rsidP="00FE7EBF">
      <w:pPr>
        <w:jc w:val="both"/>
        <w:rPr>
          <w:rFonts w:asciiTheme="minorHAnsi" w:hAnsiTheme="minorHAnsi" w:cs="Tahoma"/>
          <w:sz w:val="24"/>
          <w:szCs w:val="24"/>
        </w:rPr>
      </w:pPr>
      <w:r w:rsidRPr="00BC5F97">
        <w:rPr>
          <w:rFonts w:asciiTheme="minorHAnsi" w:hAnsiTheme="minorHAnsi" w:cs="Tahoma"/>
          <w:sz w:val="24"/>
          <w:szCs w:val="24"/>
        </w:rPr>
        <w:t>Comme on le sait, la Norme ITIE vise la promotion de la transparence, la bonne gouvernance et la redevabilité dans le secteur des Industries extractives, à savoir des industries gazières, minières et pétrolières. Toutefois, elle encourage instamment les pays ITIE à aller au-delà de ce cadrage dans la mise en œuvre des processus nationaux.</w:t>
      </w:r>
    </w:p>
    <w:p w:rsidR="00FE7EBF" w:rsidRPr="00BC5F97" w:rsidRDefault="00FE7EBF" w:rsidP="00FE7EBF">
      <w:pPr>
        <w:jc w:val="both"/>
        <w:rPr>
          <w:rFonts w:asciiTheme="minorHAnsi" w:hAnsiTheme="minorHAnsi" w:cs="Tahoma"/>
          <w:sz w:val="24"/>
          <w:szCs w:val="24"/>
        </w:rPr>
      </w:pPr>
      <w:r w:rsidRPr="00BC5F97">
        <w:rPr>
          <w:rFonts w:asciiTheme="minorHAnsi" w:hAnsiTheme="minorHAnsi" w:cs="Tahoma"/>
          <w:sz w:val="24"/>
          <w:szCs w:val="24"/>
        </w:rPr>
        <w:t>Conformément aux Exigences de la Norme, la République Démocratique du Congo a, à ce jour, publié huit (8) Rapports ITIE couvrant exclusivement les Industries minières et pétrolières, à l'exception du rapport jumelé 2008-2009 dans lequel le Comité Exécutif avait tenté l'expérience de prendre en compte les Comptoirs.</w:t>
      </w:r>
    </w:p>
    <w:p w:rsidR="00FE7EBF" w:rsidRPr="00BC5F97" w:rsidRDefault="00FE7EBF" w:rsidP="00FE7EBF">
      <w:pPr>
        <w:jc w:val="both"/>
        <w:rPr>
          <w:rFonts w:asciiTheme="minorHAnsi" w:hAnsiTheme="minorHAnsi" w:cs="Tahoma"/>
          <w:sz w:val="24"/>
          <w:szCs w:val="24"/>
        </w:rPr>
      </w:pPr>
      <w:r w:rsidRPr="00BC5F97">
        <w:rPr>
          <w:rFonts w:asciiTheme="minorHAnsi" w:hAnsiTheme="minorHAnsi" w:cs="Tahoma"/>
          <w:sz w:val="24"/>
          <w:szCs w:val="24"/>
        </w:rPr>
        <w:t xml:space="preserve">Mais, dans le souci de dépasser la Norme et d'étendre le champ de la transparence à d'autres secteurs, comme c'est le cas dans certains pays de mise en </w:t>
      </w:r>
      <w:r w:rsidR="00304AFF" w:rsidRPr="00BC5F97">
        <w:rPr>
          <w:rFonts w:asciiTheme="minorHAnsi" w:hAnsiTheme="minorHAnsi" w:cs="Tahoma"/>
          <w:sz w:val="24"/>
          <w:szCs w:val="24"/>
        </w:rPr>
        <w:t>œuvre</w:t>
      </w:r>
      <w:r w:rsidRPr="00BC5F97">
        <w:rPr>
          <w:rFonts w:asciiTheme="minorHAnsi" w:hAnsiTheme="minorHAnsi" w:cs="Tahoma"/>
          <w:sz w:val="24"/>
          <w:szCs w:val="24"/>
        </w:rPr>
        <w:t xml:space="preserve">, plusieurs demandes ont été formulées par différents partenaires en faveur de l'intégration </w:t>
      </w:r>
      <w:r w:rsidRPr="00BC5F97">
        <w:rPr>
          <w:rFonts w:asciiTheme="minorHAnsi" w:hAnsiTheme="minorHAnsi"/>
          <w:sz w:val="24"/>
          <w:szCs w:val="24"/>
        </w:rPr>
        <w:t>de la forêt et</w:t>
      </w:r>
      <w:r w:rsidRPr="00BC5F97">
        <w:rPr>
          <w:rFonts w:asciiTheme="minorHAnsi" w:hAnsiTheme="minorHAnsi" w:cs="Tahoma"/>
          <w:sz w:val="24"/>
          <w:szCs w:val="24"/>
        </w:rPr>
        <w:t xml:space="preserve"> de </w:t>
      </w:r>
      <w:r w:rsidRPr="00BC5F97">
        <w:rPr>
          <w:rFonts w:asciiTheme="minorHAnsi" w:hAnsiTheme="minorHAnsi"/>
          <w:sz w:val="24"/>
          <w:szCs w:val="24"/>
        </w:rPr>
        <w:t>l'artisanat minier dans le processus ITIE</w:t>
      </w:r>
      <w:r w:rsidRPr="00BC5F97">
        <w:rPr>
          <w:rFonts w:asciiTheme="minorHAnsi" w:hAnsiTheme="minorHAnsi" w:cs="Tahoma"/>
          <w:sz w:val="24"/>
          <w:szCs w:val="24"/>
        </w:rPr>
        <w:t>. Au regard de ces demandes, le Comité Exécutif avait initié et financé deux études de cadrage pour délimiter le nombre des opérateurs et des flux, et aussi circonscrire le contexte de ces deux secteurs en vue de lui permettre de décider de leur intégration dans le processus ITIE, eu égard aux conclusions des études.</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A cet effet, deux Cabinets de renom avaient été recrutés à l'issue d'un processus d'appel d'offres pour mener ces études et remettre leurs conclusions sur l'opportunité, la faisabilité et même les modalités d'intégration de l'artisanat minier et de la forêt dans le processus ITIE.</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 xml:space="preserve">Il s'agit de Cabinets </w:t>
      </w:r>
      <w:r w:rsidRPr="00BC5F97">
        <w:rPr>
          <w:rFonts w:asciiTheme="minorHAnsi" w:hAnsiTheme="minorHAnsi" w:cs="Arial"/>
          <w:sz w:val="24"/>
          <w:szCs w:val="24"/>
          <w:lang w:val="fr-CD"/>
        </w:rPr>
        <w:t>PricewaterhouseCoopers</w:t>
      </w:r>
      <w:r w:rsidRPr="00BC5F97">
        <w:rPr>
          <w:rFonts w:asciiTheme="minorHAnsi" w:hAnsiTheme="minorHAnsi"/>
          <w:sz w:val="24"/>
          <w:szCs w:val="24"/>
        </w:rPr>
        <w:t>, pour le secteur minier artisanal, et Moore Stephens, pour le secteur forestier. Conformément aux Termes de Référence de leur recrutement, ces deux Cabinets avaient rendu leurs Conclusions dans les rapports d'étude de cadrage respectifs.</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 xml:space="preserve">Après avoir été soumis au débat des parties prenantes, les deux rapports de cadrage ont été validés par le </w:t>
      </w:r>
      <w:r w:rsidRPr="00BC5F97">
        <w:rPr>
          <w:rFonts w:asciiTheme="minorHAnsi" w:hAnsiTheme="minorHAnsi" w:cs="Tahoma"/>
          <w:sz w:val="24"/>
          <w:szCs w:val="24"/>
        </w:rPr>
        <w:t xml:space="preserve">Comité Exécutif </w:t>
      </w:r>
      <w:r w:rsidRPr="00BC5F97">
        <w:rPr>
          <w:rFonts w:asciiTheme="minorHAnsi" w:hAnsiTheme="minorHAnsi"/>
          <w:sz w:val="24"/>
          <w:szCs w:val="24"/>
        </w:rPr>
        <w:t>à sa réunion du 04 novembre 2015.</w:t>
      </w:r>
    </w:p>
    <w:p w:rsidR="00FE7EBF" w:rsidRPr="00BC5F97" w:rsidRDefault="00FE7EBF" w:rsidP="00FE7EBF">
      <w:pPr>
        <w:spacing w:after="0" w:line="240" w:lineRule="auto"/>
        <w:jc w:val="both"/>
        <w:rPr>
          <w:rFonts w:asciiTheme="minorHAnsi" w:hAnsiTheme="minorHAnsi"/>
          <w:sz w:val="24"/>
          <w:szCs w:val="24"/>
        </w:rPr>
      </w:pPr>
      <w:r w:rsidRPr="00BC5F97">
        <w:rPr>
          <w:rFonts w:asciiTheme="minorHAnsi" w:hAnsiTheme="minorHAnsi"/>
          <w:sz w:val="24"/>
          <w:szCs w:val="24"/>
        </w:rPr>
        <w:t xml:space="preserve">Toutefois, le </w:t>
      </w:r>
      <w:r w:rsidRPr="00BC5F97">
        <w:rPr>
          <w:rFonts w:asciiTheme="minorHAnsi" w:hAnsiTheme="minorHAnsi" w:cs="Tahoma"/>
          <w:sz w:val="24"/>
          <w:szCs w:val="24"/>
        </w:rPr>
        <w:t xml:space="preserve">Comité Exécutif </w:t>
      </w:r>
      <w:r w:rsidRPr="00BC5F97">
        <w:rPr>
          <w:rFonts w:asciiTheme="minorHAnsi" w:hAnsiTheme="minorHAnsi"/>
          <w:sz w:val="24"/>
          <w:szCs w:val="24"/>
        </w:rPr>
        <w:t>avait convenu  qu'il soit au préalable produit des rapports pilotes qui pourront lui permettre de se saisir de tous les enjeux pour</w:t>
      </w:r>
    </w:p>
    <w:p w:rsidR="00FE7EBF" w:rsidRPr="00BC5F97" w:rsidRDefault="00FE7EBF" w:rsidP="00FE7EBF">
      <w:pPr>
        <w:spacing w:after="0" w:line="240" w:lineRule="auto"/>
        <w:jc w:val="both"/>
        <w:rPr>
          <w:rFonts w:asciiTheme="minorHAnsi" w:hAnsiTheme="minorHAnsi"/>
          <w:sz w:val="24"/>
          <w:szCs w:val="24"/>
        </w:rPr>
      </w:pPr>
      <w:r w:rsidRPr="00BC5F97">
        <w:rPr>
          <w:rFonts w:asciiTheme="minorHAnsi" w:hAnsiTheme="minorHAnsi"/>
          <w:sz w:val="24"/>
          <w:szCs w:val="24"/>
        </w:rPr>
        <w:t>décider définitivement de l'opportunité et de modalités d'intégration de l'artisanat minier et de la forêt dans les rapports ITIE ou de l'abandon du projet. Au fait, cette position était prise pour concilier les deux tendances qui s'étaient dégagées dans la salle lors du débat.</w:t>
      </w:r>
      <w:r w:rsidRPr="00BC5F97">
        <w:rPr>
          <w:rFonts w:asciiTheme="minorHAnsi" w:hAnsiTheme="minorHAnsi"/>
          <w:sz w:val="24"/>
          <w:szCs w:val="24"/>
        </w:rPr>
        <w:tab/>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lastRenderedPageBreak/>
        <w:t xml:space="preserve">En effet, la première tendance était de ceux qui avaient estimé qu'il ne valait pas la peine d'intégrer les deux secteurs dans le processus vu le niveau des revenus rapportés dans les études pour 2014, soit </w:t>
      </w:r>
      <w:r w:rsidRPr="00BC5F97">
        <w:rPr>
          <w:rFonts w:asciiTheme="minorHAnsi" w:hAnsiTheme="minorHAnsi"/>
          <w:b/>
          <w:sz w:val="24"/>
          <w:szCs w:val="24"/>
        </w:rPr>
        <w:t>8 356 422 USD</w:t>
      </w:r>
      <w:r w:rsidRPr="00BC5F97">
        <w:rPr>
          <w:rFonts w:asciiTheme="minorHAnsi" w:hAnsiTheme="minorHAnsi"/>
          <w:sz w:val="24"/>
          <w:szCs w:val="24"/>
        </w:rPr>
        <w:t xml:space="preserve"> pour le secteur forestier, et </w:t>
      </w:r>
      <w:r w:rsidRPr="00BC5F97">
        <w:rPr>
          <w:rFonts w:asciiTheme="minorHAnsi" w:hAnsiTheme="minorHAnsi"/>
          <w:b/>
          <w:bCs/>
          <w:sz w:val="24"/>
          <w:szCs w:val="24"/>
        </w:rPr>
        <w:t xml:space="preserve">9 878 569 USD </w:t>
      </w:r>
      <w:r w:rsidRPr="00BC5F97">
        <w:rPr>
          <w:rFonts w:asciiTheme="minorHAnsi" w:hAnsiTheme="minorHAnsi"/>
          <w:bCs/>
          <w:sz w:val="24"/>
          <w:szCs w:val="24"/>
        </w:rPr>
        <w:t xml:space="preserve">pour l'artisanat minier. La seconde tendance </w:t>
      </w:r>
      <w:r w:rsidRPr="00BC5F97">
        <w:rPr>
          <w:rFonts w:asciiTheme="minorHAnsi" w:hAnsiTheme="minorHAnsi"/>
          <w:sz w:val="24"/>
          <w:szCs w:val="24"/>
        </w:rPr>
        <w:t>était de ceux qui avaient soutenu que l'intégration de ces deux secteurs dans les rapports ITIE pourra aider à y instaurer la transparence et la bonne gouvernance, et donc, à accroitre les revenus de l'Etat; sinon, ce serait laisser l'occasion à ceux qui profitent de cette situation opaque de continuer à piller les richesses du pays et à s'enrichir illégalement.</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Eu égard à tout ce qui précède, le présent Exposé des motifs pour l'élaboration du rapport pilote ITIE-RDC 2014-Artisanat et Forêt se veut avoir pour rôle de fournir au Comité Exécutif plus d'éclairage sur cette question d'intégration de la forêt et de l'artisanat minier dans les rapports ITIE. Pour cela, il se fonde sur les informations complémentaires recueillies à l'issue des ateliers de formation qui ont été organisés et des missions de sensibilisation effectuées dans les provinces où les études de cadrage ont été menées.</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Mais, avant d'en arriver là, il convient  de retracer ici les différentes étapes du projet d'intégration, de faire après une articulation logique des arguments pour ou contre cette intégration, pour terminer avec une petite conclusion et quelques recommandations.</w:t>
      </w:r>
    </w:p>
    <w:p w:rsidR="00FE7EBF" w:rsidRPr="00BC5F97" w:rsidRDefault="00FE7EBF" w:rsidP="00FE7EBF">
      <w:pPr>
        <w:ind w:left="426" w:hanging="426"/>
        <w:jc w:val="both"/>
        <w:rPr>
          <w:rFonts w:asciiTheme="minorHAnsi" w:hAnsiTheme="minorHAnsi"/>
          <w:sz w:val="24"/>
          <w:szCs w:val="24"/>
        </w:rPr>
      </w:pPr>
      <w:r w:rsidRPr="00BC5F97">
        <w:rPr>
          <w:rFonts w:asciiTheme="minorHAnsi" w:hAnsiTheme="minorHAnsi"/>
          <w:b/>
          <w:color w:val="0070C0"/>
          <w:sz w:val="24"/>
          <w:szCs w:val="24"/>
        </w:rPr>
        <w:t>II. Organisation des différentes étapes du projet en fonction de la problématique de départ, des hypothèses et de la démarche</w:t>
      </w:r>
    </w:p>
    <w:p w:rsidR="00FE7EBF" w:rsidRPr="00BC5F97" w:rsidRDefault="00FE7EBF" w:rsidP="00FE7EBF">
      <w:pPr>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t>a) Problématique de départ</w:t>
      </w:r>
    </w:p>
    <w:p w:rsidR="00FE7EBF" w:rsidRPr="00BC5F97" w:rsidRDefault="00FE7EBF" w:rsidP="00FE7EBF">
      <w:pPr>
        <w:jc w:val="both"/>
        <w:rPr>
          <w:rFonts w:asciiTheme="minorHAnsi" w:hAnsiTheme="minorHAnsi" w:cs="Tahoma"/>
          <w:sz w:val="24"/>
          <w:szCs w:val="24"/>
        </w:rPr>
      </w:pPr>
      <w:r w:rsidRPr="00BC5F97">
        <w:rPr>
          <w:rFonts w:asciiTheme="minorHAnsi" w:hAnsiTheme="minorHAnsi" w:cs="Tahoma"/>
          <w:sz w:val="24"/>
          <w:szCs w:val="24"/>
        </w:rPr>
        <w:t>Dans de nombreux pays riches en ressources naturelles, l'exploitation de ces ressources s'associe souvent à la pauvreté, aux conflits, à la fraude et à la corruption par manque de transparence, non seulement dans les paiements que les exploitants versent aux gouvernements et les revenus que les gouvernements perçoivent de ces exploitants, mais aussi, dans les chaînes d'approvisionnement en ce qui concernel'artisanat minier. Cet état de choses n'a pas laissé indifférentes les parties prenantes impliquées dans le secteur des ressources naturelles.</w:t>
      </w:r>
    </w:p>
    <w:p w:rsidR="00FE7EBF" w:rsidRPr="00BC5F97" w:rsidRDefault="00FE7EBF" w:rsidP="00FE7EBF">
      <w:pPr>
        <w:jc w:val="both"/>
        <w:rPr>
          <w:rFonts w:asciiTheme="minorHAnsi" w:hAnsiTheme="minorHAnsi"/>
          <w:sz w:val="24"/>
          <w:szCs w:val="24"/>
        </w:rPr>
      </w:pPr>
      <w:r w:rsidRPr="00BC5F97">
        <w:rPr>
          <w:rFonts w:asciiTheme="minorHAnsi" w:hAnsiTheme="minorHAnsi" w:cs="Tahoma"/>
          <w:sz w:val="24"/>
          <w:szCs w:val="24"/>
        </w:rPr>
        <w:t xml:space="preserve">C'est ainsi que dans le cas de la RDC, motivés par les progrès accomplis dans la transparence des Industries minières et pétrolières, le Gouvernement </w:t>
      </w:r>
      <w:r w:rsidRPr="00BC5F97">
        <w:rPr>
          <w:rFonts w:asciiTheme="minorHAnsi" w:hAnsiTheme="minorHAnsi"/>
          <w:sz w:val="24"/>
          <w:szCs w:val="24"/>
        </w:rPr>
        <w:t>Congolais, la CIRGL, le Secrétariat International de l'ITIE, l'Union Européenne avaient formulé des demandes en faveur de l'intégration de l'artisanat minier et de la forêt dans le processus ITIE.</w:t>
      </w:r>
    </w:p>
    <w:p w:rsidR="00FE7EBF" w:rsidRPr="00BC5F97" w:rsidRDefault="00FE7EBF" w:rsidP="00C7360A">
      <w:pPr>
        <w:pStyle w:val="Paragraphedeliste"/>
        <w:numPr>
          <w:ilvl w:val="0"/>
          <w:numId w:val="19"/>
        </w:numPr>
        <w:spacing w:after="200" w:line="276" w:lineRule="auto"/>
        <w:jc w:val="both"/>
        <w:rPr>
          <w:rFonts w:asciiTheme="minorHAnsi" w:hAnsiTheme="minorHAnsi"/>
          <w:b/>
          <w:sz w:val="24"/>
          <w:szCs w:val="24"/>
        </w:rPr>
      </w:pPr>
      <w:r w:rsidRPr="00BC5F97">
        <w:rPr>
          <w:rFonts w:asciiTheme="minorHAnsi" w:hAnsiTheme="minorHAnsi"/>
          <w:b/>
          <w:sz w:val="24"/>
          <w:szCs w:val="24"/>
        </w:rPr>
        <w:t>Demande du Gouvernement</w:t>
      </w:r>
    </w:p>
    <w:p w:rsidR="00FE7EBF" w:rsidRPr="00BC5F97" w:rsidRDefault="00FE7EBF" w:rsidP="00FE7EBF">
      <w:pPr>
        <w:pStyle w:val="Paragraphedeliste"/>
        <w:ind w:left="0" w:firstLine="720"/>
        <w:jc w:val="both"/>
        <w:rPr>
          <w:rFonts w:asciiTheme="minorHAnsi" w:hAnsiTheme="minorHAnsi"/>
          <w:sz w:val="24"/>
          <w:szCs w:val="24"/>
        </w:rPr>
      </w:pPr>
      <w:r w:rsidRPr="00BC5F97">
        <w:rPr>
          <w:rFonts w:asciiTheme="minorHAnsi" w:hAnsiTheme="minorHAnsi"/>
          <w:sz w:val="24"/>
          <w:szCs w:val="24"/>
        </w:rPr>
        <w:t>Concernant le secteur forestier, tout est parti du Décret du 16/7/ 2009 portant organisation et fonctionnement de l’ITIE en son article 2  où, par extension, le  bois est considéré comme  une ressource non  renouvelable  devant donc faire l’objet de déclaration à l’ITIE. C'est ainsi qu'à sa réunion du 31/08/2012, sur demande du Ministre de l'Environnement, Conservation de la Nature &amp; Tourisme, le Comité Exécutif de l'ITIE-RDC avait décidé d'intégrer dans le processus ITIE le secteur bois. Et même, c'était à la suite de cette décision que les antennes provinciales du Secrétariat Technique ont été ouvertes dans les provinces de Bandundu et de l'Equateur.</w:t>
      </w:r>
    </w:p>
    <w:p w:rsidR="00FE7EBF" w:rsidRPr="00BC5F97" w:rsidRDefault="00FE7EBF" w:rsidP="00FE7EBF">
      <w:pPr>
        <w:pStyle w:val="Paragraphedeliste"/>
        <w:ind w:left="0" w:firstLine="720"/>
        <w:jc w:val="both"/>
        <w:rPr>
          <w:rFonts w:asciiTheme="minorHAnsi" w:hAnsiTheme="minorHAnsi"/>
          <w:sz w:val="24"/>
          <w:szCs w:val="24"/>
        </w:rPr>
      </w:pPr>
    </w:p>
    <w:p w:rsidR="00FE7EBF" w:rsidRPr="00BC5F97" w:rsidRDefault="00FE7EBF" w:rsidP="00FE7EBF">
      <w:pPr>
        <w:pStyle w:val="Paragraphedeliste"/>
        <w:ind w:left="0" w:firstLine="720"/>
        <w:jc w:val="both"/>
        <w:rPr>
          <w:rFonts w:asciiTheme="minorHAnsi" w:hAnsiTheme="minorHAnsi"/>
          <w:sz w:val="24"/>
          <w:szCs w:val="24"/>
        </w:rPr>
      </w:pPr>
      <w:r w:rsidRPr="00BC5F97">
        <w:rPr>
          <w:rFonts w:asciiTheme="minorHAnsi" w:hAnsiTheme="minorHAnsi"/>
          <w:sz w:val="24"/>
          <w:szCs w:val="24"/>
        </w:rPr>
        <w:t xml:space="preserve">Concernant l'artisanat minier, à plusieurs occasions le gouvernement, à travers le Comité Exécutif, et les Parties Prenantes n'ont cessé d'émettre le souhait que ce secteur soit réintégré dans le processus de déclaration ITIE,  après qu'il l'ait été dans les Rapports 2008 et 2009 qui n’avaient pas rencontré les espoirs. C'est dans ce souci que, lors de sa réunion du 29 avril 2014, le Comité Exécutif avait pris la décision de rouvrir l’antenne  réduite de  l’Est (à Goma) avec comme mission de collecter les données de l’artisanat minier. </w:t>
      </w:r>
    </w:p>
    <w:p w:rsidR="00FE7EBF" w:rsidRPr="00BC5F97" w:rsidRDefault="00FE7EBF" w:rsidP="00FE7EBF">
      <w:pPr>
        <w:pStyle w:val="Paragraphedeliste"/>
        <w:jc w:val="both"/>
        <w:rPr>
          <w:rFonts w:asciiTheme="minorHAnsi" w:hAnsiTheme="minorHAnsi"/>
          <w:sz w:val="24"/>
          <w:szCs w:val="24"/>
        </w:rPr>
      </w:pPr>
    </w:p>
    <w:p w:rsidR="00FE7EBF" w:rsidRPr="00BC5F97" w:rsidRDefault="00FE7EBF" w:rsidP="00C7360A">
      <w:pPr>
        <w:pStyle w:val="Paragraphedeliste"/>
        <w:numPr>
          <w:ilvl w:val="0"/>
          <w:numId w:val="19"/>
        </w:numPr>
        <w:spacing w:after="200" w:line="276" w:lineRule="auto"/>
        <w:jc w:val="both"/>
        <w:rPr>
          <w:rFonts w:asciiTheme="minorHAnsi" w:hAnsiTheme="minorHAnsi"/>
          <w:b/>
          <w:sz w:val="24"/>
          <w:szCs w:val="24"/>
        </w:rPr>
      </w:pPr>
      <w:r w:rsidRPr="00BC5F97">
        <w:rPr>
          <w:rFonts w:asciiTheme="minorHAnsi" w:hAnsiTheme="minorHAnsi"/>
          <w:b/>
          <w:sz w:val="24"/>
          <w:szCs w:val="24"/>
        </w:rPr>
        <w:t>Demande de la CIRGL</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 xml:space="preserve">Dans une étude pilote, </w:t>
      </w:r>
      <w:r w:rsidRPr="00BC5F97">
        <w:rPr>
          <w:rFonts w:asciiTheme="minorHAnsi" w:hAnsiTheme="minorHAnsi"/>
          <w:i/>
          <w:sz w:val="24"/>
          <w:szCs w:val="24"/>
        </w:rPr>
        <w:t>« Promouvoir la transparence des recettes de l’exploitation minière artisanale et à petite échelle (ASM) et les chaînes d’approvisionnement des ressources minières dans la Région des Grands Lacs »,</w:t>
      </w:r>
      <w:r w:rsidRPr="00BC5F97">
        <w:rPr>
          <w:rFonts w:asciiTheme="minorHAnsi" w:hAnsiTheme="minorHAnsi"/>
          <w:sz w:val="24"/>
          <w:szCs w:val="24"/>
        </w:rPr>
        <w:t xml:space="preserve"> la CIRGL avait constaté que les Rapports ITIE mettaient l'accent </w:t>
      </w:r>
      <w:r w:rsidR="00304AFF" w:rsidRPr="00BC5F97">
        <w:rPr>
          <w:rFonts w:asciiTheme="minorHAnsi" w:hAnsiTheme="minorHAnsi"/>
          <w:sz w:val="24"/>
          <w:szCs w:val="24"/>
        </w:rPr>
        <w:t>jusque-là</w:t>
      </w:r>
      <w:r w:rsidRPr="00BC5F97">
        <w:rPr>
          <w:rFonts w:asciiTheme="minorHAnsi" w:hAnsiTheme="minorHAnsi"/>
          <w:sz w:val="24"/>
          <w:szCs w:val="24"/>
        </w:rPr>
        <w:t xml:space="preserve"> sur les activités minières et pétrolières industrielles, marginalisant l'exploitation minière artisanale et à petite échelle (ASM) et ses chaînes d'approvisionnement respectives. Elle avait également relevé que l'ASM constituait une activité économique importante en ce qui concerne la production et l'exportation des ressources minières dans plusieurs de ses Etats membres.</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Dans le cadre de cette étude, au vu des constats faits ci-dessus, la CIRGL avait demandé que l’exploitation minière artisanale et à petite échelle (ASM) et les chaînes d’approvisionnement des ressources minières soient intégrées dans le processus ITIE, soutenant que des recherches précédentes ont montré que certains processus nationaux de l'ITIE ont introduit l'ASM dans leurs rapports ou projettent de le faire dans un futur proche.</w:t>
      </w:r>
    </w:p>
    <w:p w:rsidR="00FE7EBF" w:rsidRPr="00BC5F97" w:rsidRDefault="00FE7EBF" w:rsidP="00C7360A">
      <w:pPr>
        <w:pStyle w:val="Paragraphedeliste"/>
        <w:numPr>
          <w:ilvl w:val="0"/>
          <w:numId w:val="19"/>
        </w:numPr>
        <w:spacing w:after="200" w:line="276" w:lineRule="auto"/>
        <w:jc w:val="both"/>
        <w:rPr>
          <w:rFonts w:asciiTheme="minorHAnsi" w:hAnsiTheme="minorHAnsi"/>
          <w:b/>
          <w:sz w:val="24"/>
          <w:szCs w:val="24"/>
        </w:rPr>
      </w:pPr>
      <w:r w:rsidRPr="00BC5F97">
        <w:rPr>
          <w:rFonts w:asciiTheme="minorHAnsi" w:hAnsiTheme="minorHAnsi"/>
          <w:b/>
          <w:sz w:val="24"/>
          <w:szCs w:val="24"/>
        </w:rPr>
        <w:t>Demande de l'UE</w:t>
      </w:r>
    </w:p>
    <w:p w:rsidR="00FE7EBF" w:rsidRPr="00304AFF" w:rsidRDefault="00FE7EBF" w:rsidP="00304AFF">
      <w:pPr>
        <w:jc w:val="both"/>
        <w:rPr>
          <w:rFonts w:asciiTheme="minorHAnsi" w:hAnsiTheme="minorHAnsi"/>
          <w:sz w:val="24"/>
          <w:szCs w:val="24"/>
        </w:rPr>
      </w:pPr>
      <w:r w:rsidRPr="00304AFF">
        <w:rPr>
          <w:rFonts w:asciiTheme="minorHAnsi" w:hAnsiTheme="minorHAnsi"/>
          <w:sz w:val="24"/>
          <w:szCs w:val="24"/>
        </w:rPr>
        <w:t xml:space="preserve">A la suite des discours prononcés par le  Gouvernement et les partenaires au développement tels que l’UE, la BAD et la MONUSCO à la Conférence minière de Goma, il ressort que les groupes armés naissent le plus souvent de l’appétit minier, se développent presque tous, s’enrichissent et se renforcent grâce aux revenus tirés de l’exploitation illégale des ressources naturelles. A cette occasion, les participants avaient demandé </w:t>
      </w:r>
      <w:r w:rsidRPr="00BC5F97">
        <w:rPr>
          <w:rFonts w:asciiTheme="minorHAnsi" w:hAnsiTheme="minorHAnsi"/>
          <w:sz w:val="24"/>
          <w:szCs w:val="24"/>
        </w:rPr>
        <w:t>d’intégrer le secteur minier artisanal  dans les Rapports ITIE afin d’y instaurer  la transparence et mettre fin à l’exploitation et au commerce  illicites des minerais  à l’Est du pays</w:t>
      </w:r>
    </w:p>
    <w:p w:rsidR="00FE7EBF" w:rsidRPr="00BC5F97" w:rsidRDefault="00FE7EBF" w:rsidP="00C7360A">
      <w:pPr>
        <w:pStyle w:val="Paragraphedeliste"/>
        <w:numPr>
          <w:ilvl w:val="0"/>
          <w:numId w:val="19"/>
        </w:numPr>
        <w:spacing w:after="200" w:line="276" w:lineRule="auto"/>
        <w:jc w:val="both"/>
        <w:rPr>
          <w:rFonts w:asciiTheme="minorHAnsi" w:hAnsiTheme="minorHAnsi"/>
          <w:b/>
          <w:color w:val="FF0000"/>
          <w:sz w:val="24"/>
          <w:szCs w:val="24"/>
        </w:rPr>
      </w:pPr>
      <w:r w:rsidRPr="00BC5F97">
        <w:rPr>
          <w:rFonts w:asciiTheme="minorHAnsi" w:hAnsiTheme="minorHAnsi"/>
          <w:b/>
          <w:sz w:val="24"/>
          <w:szCs w:val="24"/>
        </w:rPr>
        <w:t>Demande du Secrétariat International de l'ITIE</w:t>
      </w:r>
    </w:p>
    <w:p w:rsidR="00FE7EBF" w:rsidRPr="00BC5F97" w:rsidRDefault="00FE7EBF" w:rsidP="00304AFF">
      <w:pPr>
        <w:jc w:val="both"/>
        <w:rPr>
          <w:rFonts w:asciiTheme="minorHAnsi" w:hAnsiTheme="minorHAnsi"/>
          <w:sz w:val="24"/>
          <w:szCs w:val="24"/>
        </w:rPr>
      </w:pPr>
      <w:r w:rsidRPr="00BC5F97">
        <w:rPr>
          <w:rFonts w:asciiTheme="minorHAnsi" w:hAnsiTheme="minorHAnsi"/>
          <w:sz w:val="24"/>
          <w:szCs w:val="24"/>
        </w:rPr>
        <w:t>Dans une lettre adressée au Coordonnateur National de l'ITIE-RDC en  fin 2013, et à plusieurs autres occasions, le Secrétariat international de l’ITIE  avait demandé  à la RDC  d’examiner la faisabilité d’intégrer le secteur minier artisanal dans les déclarations ITIE en menant au préalable une étude d’impact de l’exploitation artisanale à l’Est du Pays.</w:t>
      </w:r>
    </w:p>
    <w:p w:rsidR="00FE7EBF" w:rsidRPr="00BC5F97" w:rsidRDefault="00FE7EBF" w:rsidP="00FE7EBF">
      <w:pPr>
        <w:pStyle w:val="Paragraphedeliste"/>
        <w:ind w:left="0"/>
        <w:jc w:val="both"/>
        <w:rPr>
          <w:rFonts w:asciiTheme="minorHAnsi" w:hAnsiTheme="minorHAnsi"/>
          <w:sz w:val="24"/>
          <w:szCs w:val="24"/>
        </w:rPr>
      </w:pPr>
      <w:r w:rsidRPr="00BC5F97">
        <w:rPr>
          <w:rFonts w:asciiTheme="minorHAnsi" w:hAnsiTheme="minorHAnsi"/>
          <w:sz w:val="24"/>
          <w:szCs w:val="24"/>
        </w:rPr>
        <w:t>A toutes ces demandes, il convient d'ajouter celles des participants aux ateliers de formation des agents et cadres du secteur forestier à Kinshasa, et des agents et cadres du secteur minier artisanal à Goma.</w:t>
      </w:r>
    </w:p>
    <w:p w:rsidR="00FE7EBF" w:rsidRPr="00BC5F97" w:rsidRDefault="00FE7EBF" w:rsidP="00FE7EBF">
      <w:pPr>
        <w:jc w:val="both"/>
        <w:rPr>
          <w:rFonts w:asciiTheme="minorHAnsi" w:hAnsiTheme="minorHAnsi"/>
          <w:i/>
          <w:sz w:val="24"/>
          <w:szCs w:val="24"/>
        </w:rPr>
      </w:pPr>
      <w:r w:rsidRPr="00BC5F97">
        <w:rPr>
          <w:rFonts w:asciiTheme="minorHAnsi" w:hAnsiTheme="minorHAnsi"/>
          <w:b/>
          <w:color w:val="385623" w:themeColor="accent6" w:themeShade="80"/>
          <w:sz w:val="24"/>
          <w:szCs w:val="24"/>
        </w:rPr>
        <w:t>b) Hypothèses</w:t>
      </w:r>
    </w:p>
    <w:p w:rsidR="00FE7EBF" w:rsidRPr="00BC5F97" w:rsidRDefault="00FE7EBF" w:rsidP="00FE7EBF">
      <w:pPr>
        <w:pStyle w:val="Paragraphedeliste"/>
        <w:ind w:left="0"/>
        <w:jc w:val="both"/>
        <w:rPr>
          <w:rFonts w:asciiTheme="minorHAnsi" w:hAnsiTheme="minorHAnsi"/>
          <w:sz w:val="24"/>
          <w:szCs w:val="24"/>
        </w:rPr>
      </w:pPr>
      <w:r w:rsidRPr="00BC5F97">
        <w:rPr>
          <w:rFonts w:asciiTheme="minorHAnsi" w:hAnsiTheme="minorHAnsi"/>
          <w:sz w:val="24"/>
          <w:szCs w:val="24"/>
        </w:rPr>
        <w:lastRenderedPageBreak/>
        <w:t>Se fondant sur toutes les demandes formulées, le Comité Exécutif avait inscrit dans sa Feuille de route logique de 2014 pour la production du rapport 2012, deux activités relatives respectivement à la couverture de l'exploitation minière artisanale à l'Est du pays et à la couverture de l'exploitation forestière.</w:t>
      </w:r>
    </w:p>
    <w:p w:rsidR="00FE7EBF" w:rsidRPr="00BC5F97" w:rsidRDefault="00FE7EBF" w:rsidP="00FE7EBF">
      <w:pPr>
        <w:pStyle w:val="Paragraphedeliste"/>
        <w:ind w:left="0"/>
        <w:jc w:val="both"/>
        <w:rPr>
          <w:rFonts w:asciiTheme="minorHAnsi" w:hAnsiTheme="minorHAnsi"/>
          <w:sz w:val="24"/>
          <w:szCs w:val="24"/>
        </w:rPr>
      </w:pPr>
    </w:p>
    <w:p w:rsidR="00FE7EBF" w:rsidRPr="00BC5F97" w:rsidRDefault="00FE7EBF" w:rsidP="00FE7EBF">
      <w:pPr>
        <w:pStyle w:val="Paragraphedeliste"/>
        <w:ind w:left="0"/>
        <w:jc w:val="both"/>
        <w:rPr>
          <w:rFonts w:asciiTheme="minorHAnsi" w:hAnsiTheme="minorHAnsi"/>
          <w:sz w:val="24"/>
          <w:szCs w:val="24"/>
        </w:rPr>
      </w:pPr>
      <w:r w:rsidRPr="00BC5F97">
        <w:rPr>
          <w:rFonts w:asciiTheme="minorHAnsi" w:hAnsiTheme="minorHAnsi"/>
          <w:sz w:val="24"/>
          <w:szCs w:val="24"/>
        </w:rPr>
        <w:t>Toutefois, il se pose le problème de l'intérêt et de l'opportunité de cette intégration qui suscite deux questions fondamentales:</w:t>
      </w:r>
    </w:p>
    <w:p w:rsidR="00FE7EBF" w:rsidRPr="00BC5F97" w:rsidRDefault="00FE7EBF" w:rsidP="00C7360A">
      <w:pPr>
        <w:pStyle w:val="Paragraphedeliste"/>
        <w:numPr>
          <w:ilvl w:val="0"/>
          <w:numId w:val="21"/>
        </w:numPr>
        <w:spacing w:after="200" w:line="276" w:lineRule="auto"/>
        <w:jc w:val="both"/>
        <w:rPr>
          <w:rFonts w:asciiTheme="minorHAnsi" w:hAnsiTheme="minorHAnsi"/>
          <w:sz w:val="24"/>
          <w:szCs w:val="24"/>
        </w:rPr>
      </w:pPr>
      <w:r w:rsidRPr="00BC5F97">
        <w:rPr>
          <w:rFonts w:asciiTheme="minorHAnsi" w:hAnsiTheme="minorHAnsi"/>
          <w:sz w:val="24"/>
          <w:szCs w:val="24"/>
        </w:rPr>
        <w:t>Y a-t-il vraiment de l'intérêt à intégrer ces deux secteurs dans le processus ITE?</w:t>
      </w:r>
    </w:p>
    <w:p w:rsidR="00FE7EBF" w:rsidRPr="00BC5F97" w:rsidRDefault="00FE7EBF" w:rsidP="00C7360A">
      <w:pPr>
        <w:pStyle w:val="Paragraphedeliste"/>
        <w:numPr>
          <w:ilvl w:val="0"/>
          <w:numId w:val="21"/>
        </w:numPr>
        <w:spacing w:after="200" w:line="276" w:lineRule="auto"/>
        <w:jc w:val="both"/>
        <w:rPr>
          <w:rFonts w:asciiTheme="minorHAnsi" w:hAnsiTheme="minorHAnsi"/>
          <w:sz w:val="24"/>
          <w:szCs w:val="24"/>
        </w:rPr>
      </w:pPr>
      <w:r w:rsidRPr="00BC5F97">
        <w:rPr>
          <w:rFonts w:asciiTheme="minorHAnsi" w:hAnsiTheme="minorHAnsi"/>
          <w:sz w:val="24"/>
          <w:szCs w:val="24"/>
        </w:rPr>
        <w:t>Le moment est-il favorable pour cette intégration ou certains préalables s'imposent?</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Face à la problématique posée, les différents partenaires avaient estimé que l'intégration immédiate de l'artisanat minier et de la forêt dans le processus ITIE pourrait permettre d'instaurer la transparence dans ces secteurs et de lever un pan de voile sur leur contribution aux recettes de l'Etat.</w:t>
      </w:r>
    </w:p>
    <w:p w:rsidR="00FE7EBF" w:rsidRPr="00BC5F97" w:rsidRDefault="00FE7EBF" w:rsidP="00FE7EBF">
      <w:pPr>
        <w:jc w:val="both"/>
        <w:rPr>
          <w:rFonts w:asciiTheme="minorHAnsi" w:hAnsiTheme="minorHAnsi"/>
          <w:i/>
          <w:sz w:val="24"/>
          <w:szCs w:val="24"/>
        </w:rPr>
      </w:pPr>
      <w:r w:rsidRPr="00BC5F97">
        <w:rPr>
          <w:rFonts w:asciiTheme="minorHAnsi" w:hAnsiTheme="minorHAnsi"/>
          <w:b/>
          <w:color w:val="385623" w:themeColor="accent6" w:themeShade="80"/>
          <w:sz w:val="24"/>
          <w:szCs w:val="24"/>
        </w:rPr>
        <w:t>c) Démarche</w:t>
      </w:r>
    </w:p>
    <w:p w:rsidR="00FE7EBF" w:rsidRPr="00BC5F97" w:rsidRDefault="00FE7EBF" w:rsidP="00FE7EBF">
      <w:pPr>
        <w:jc w:val="both"/>
        <w:rPr>
          <w:rFonts w:asciiTheme="minorHAnsi" w:hAnsiTheme="minorHAnsi"/>
          <w:i/>
          <w:sz w:val="24"/>
          <w:szCs w:val="24"/>
        </w:rPr>
      </w:pPr>
      <w:r w:rsidRPr="00BC5F97">
        <w:rPr>
          <w:rFonts w:asciiTheme="minorHAnsi" w:hAnsiTheme="minorHAnsi"/>
          <w:sz w:val="24"/>
          <w:szCs w:val="24"/>
        </w:rPr>
        <w:t>La démarche approuvée par le Comité Exécutif pour la couverture l'artisanat minier et de la forêt dans le processus ITIE avait consisté à recruter un Administrateur Indépendant et procéder par des études de cadrage.</w:t>
      </w:r>
    </w:p>
    <w:p w:rsidR="00FE7EBF" w:rsidRPr="00BC5F97" w:rsidRDefault="00FE7EBF" w:rsidP="00C7360A">
      <w:pPr>
        <w:pStyle w:val="Paragraphedeliste"/>
        <w:numPr>
          <w:ilvl w:val="0"/>
          <w:numId w:val="20"/>
        </w:numPr>
        <w:spacing w:after="200" w:line="276" w:lineRule="auto"/>
        <w:jc w:val="both"/>
        <w:rPr>
          <w:rFonts w:asciiTheme="minorHAnsi" w:hAnsiTheme="minorHAnsi"/>
          <w:b/>
          <w:sz w:val="24"/>
          <w:szCs w:val="24"/>
        </w:rPr>
      </w:pPr>
      <w:r w:rsidRPr="00BC5F97">
        <w:rPr>
          <w:rFonts w:asciiTheme="minorHAnsi" w:hAnsiTheme="minorHAnsi"/>
          <w:b/>
          <w:sz w:val="24"/>
          <w:szCs w:val="24"/>
        </w:rPr>
        <w:t>Réalisation des Etudes de Cadrage</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Comme nous l'avons dit dans l'introduction, deux Cabinets de renom avaient été recrutés à l'issue d'un processus d'appel d'offres pour mener les études de cadrage sur l'artisanat minier et  la forêt afin de permettre au Comité Exécutif de voir dans quelle mesure il peut intégrer ces deux secteurs dans les rapports ITIE.</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 xml:space="preserve">Les deux Cabinets recrutés étaient </w:t>
      </w:r>
      <w:r w:rsidRPr="00BC5F97">
        <w:rPr>
          <w:rFonts w:asciiTheme="minorHAnsi" w:hAnsiTheme="minorHAnsi" w:cs="Arial"/>
          <w:sz w:val="24"/>
          <w:szCs w:val="24"/>
          <w:lang w:val="fr-CD"/>
        </w:rPr>
        <w:t>PricewaterhouseCoopers</w:t>
      </w:r>
      <w:r w:rsidRPr="00BC5F97">
        <w:rPr>
          <w:rFonts w:asciiTheme="minorHAnsi" w:hAnsiTheme="minorHAnsi"/>
          <w:sz w:val="24"/>
          <w:szCs w:val="24"/>
        </w:rPr>
        <w:t xml:space="preserve">, pour le secteur minier artisanal, et Moore Stephens, pour le secteur forestier. Ces deux Cabinets avaient fait leur travail et avaient produit des projets de rapports de cadrage qui ont été révisés en ateliers par les parties prenantes le 07/09/2015 pour l'artisanat minier, et le 10/09/2015 pour la forêt. Les projets de rapports ainsi révisés et améliorés, avaient été validés par le </w:t>
      </w:r>
      <w:r w:rsidRPr="00BC5F97">
        <w:rPr>
          <w:rFonts w:asciiTheme="minorHAnsi" w:hAnsiTheme="minorHAnsi" w:cs="Tahoma"/>
          <w:sz w:val="24"/>
          <w:szCs w:val="24"/>
        </w:rPr>
        <w:t xml:space="preserve">Comité Exécutif </w:t>
      </w:r>
      <w:r w:rsidRPr="00BC5F97">
        <w:rPr>
          <w:rFonts w:asciiTheme="minorHAnsi" w:hAnsiTheme="minorHAnsi"/>
          <w:sz w:val="24"/>
          <w:szCs w:val="24"/>
        </w:rPr>
        <w:t>à sa réunion du 04 novembre 2015 en convenant qu'il sera d'abord produit des rapports pilotes qui ne pourront être soumis à aucun examen des Instances de l'ITIE Internationale. Ainsi, avait-il fallu commencer les activités de formation et de sensibilisation des acteurs de deux secteurs.</w:t>
      </w:r>
    </w:p>
    <w:p w:rsidR="00FE7EBF" w:rsidRPr="00BC5F97" w:rsidRDefault="00FE7EBF" w:rsidP="00C7360A">
      <w:pPr>
        <w:pStyle w:val="Paragraphedeliste"/>
        <w:numPr>
          <w:ilvl w:val="0"/>
          <w:numId w:val="20"/>
        </w:numPr>
        <w:spacing w:after="200" w:line="276" w:lineRule="auto"/>
        <w:jc w:val="both"/>
        <w:rPr>
          <w:rFonts w:asciiTheme="minorHAnsi" w:hAnsiTheme="minorHAnsi"/>
          <w:b/>
          <w:sz w:val="24"/>
          <w:szCs w:val="24"/>
        </w:rPr>
      </w:pPr>
      <w:r w:rsidRPr="00BC5F97">
        <w:rPr>
          <w:rFonts w:asciiTheme="minorHAnsi" w:hAnsiTheme="minorHAnsi"/>
          <w:b/>
          <w:sz w:val="24"/>
          <w:szCs w:val="24"/>
        </w:rPr>
        <w:t>Formations et missions de sensibilisation à la collecte des données</w:t>
      </w:r>
    </w:p>
    <w:p w:rsidR="00FE7EBF" w:rsidRPr="00BC5F97" w:rsidRDefault="00FE7EBF" w:rsidP="00FE7EBF">
      <w:pPr>
        <w:pStyle w:val="Paragraphedeliste"/>
        <w:jc w:val="both"/>
        <w:rPr>
          <w:rFonts w:asciiTheme="minorHAnsi" w:hAnsiTheme="minorHAnsi"/>
          <w:b/>
          <w:sz w:val="24"/>
          <w:szCs w:val="24"/>
        </w:rPr>
      </w:pPr>
    </w:p>
    <w:p w:rsidR="00FE7EBF" w:rsidRPr="00BC5F97" w:rsidRDefault="00FE7EBF" w:rsidP="00FE7EBF">
      <w:pPr>
        <w:pStyle w:val="Paragraphedeliste"/>
        <w:ind w:left="0"/>
        <w:jc w:val="both"/>
        <w:rPr>
          <w:rFonts w:asciiTheme="minorHAnsi" w:hAnsiTheme="minorHAnsi"/>
          <w:sz w:val="24"/>
          <w:szCs w:val="24"/>
        </w:rPr>
      </w:pPr>
      <w:r w:rsidRPr="00BC5F97">
        <w:rPr>
          <w:rFonts w:asciiTheme="minorHAnsi" w:hAnsiTheme="minorHAnsi"/>
          <w:sz w:val="24"/>
          <w:szCs w:val="24"/>
        </w:rPr>
        <w:t>Dans le cadre du processus d'élaboration des rapports pilotes-artisanat minier &amp; forêt, comme cela a été décidé par le Comité Exécutif, trois ateliers de formation ont été organisés à l'attention des agents, cadres et acteurs du secteur minier art</w:t>
      </w:r>
      <w:r w:rsidR="00304AFF">
        <w:rPr>
          <w:rFonts w:asciiTheme="minorHAnsi" w:hAnsiTheme="minorHAnsi"/>
          <w:sz w:val="24"/>
          <w:szCs w:val="24"/>
        </w:rPr>
        <w:t>isanal et du secteur forestier.</w:t>
      </w:r>
    </w:p>
    <w:p w:rsidR="00FE7EBF" w:rsidRPr="00BC5F97" w:rsidRDefault="00FE7EBF" w:rsidP="00304AFF">
      <w:pPr>
        <w:pStyle w:val="Paragraphedeliste"/>
        <w:spacing w:after="0"/>
        <w:ind w:left="0"/>
        <w:jc w:val="both"/>
        <w:rPr>
          <w:rFonts w:asciiTheme="minorHAnsi" w:hAnsiTheme="minorHAnsi"/>
          <w:sz w:val="24"/>
          <w:szCs w:val="24"/>
        </w:rPr>
      </w:pPr>
      <w:r w:rsidRPr="00BC5F97">
        <w:rPr>
          <w:rFonts w:asciiTheme="minorHAnsi" w:hAnsiTheme="minorHAnsi"/>
          <w:sz w:val="24"/>
          <w:szCs w:val="24"/>
        </w:rPr>
        <w:t>Il s'agit de:</w:t>
      </w:r>
    </w:p>
    <w:p w:rsidR="00FE7EBF" w:rsidRPr="00BC5F97" w:rsidRDefault="00FE7EBF" w:rsidP="00304AFF">
      <w:pPr>
        <w:pStyle w:val="Paragraphedeliste"/>
        <w:numPr>
          <w:ilvl w:val="0"/>
          <w:numId w:val="31"/>
        </w:numPr>
        <w:spacing w:after="0"/>
        <w:jc w:val="both"/>
        <w:rPr>
          <w:rFonts w:asciiTheme="minorHAnsi" w:hAnsiTheme="minorHAnsi"/>
          <w:sz w:val="24"/>
          <w:szCs w:val="24"/>
        </w:rPr>
      </w:pPr>
      <w:r w:rsidRPr="00BC5F97">
        <w:rPr>
          <w:rFonts w:asciiTheme="minorHAnsi" w:hAnsiTheme="minorHAnsi"/>
          <w:sz w:val="24"/>
          <w:szCs w:val="24"/>
        </w:rPr>
        <w:t>l'atelier de Kinshasa, qui avait regroupé les acteurs du secteur forestier de Kinshasa, Bandundu et Equateur;</w:t>
      </w:r>
    </w:p>
    <w:p w:rsidR="00FE7EBF" w:rsidRPr="00BC5F97" w:rsidRDefault="00FE7EBF" w:rsidP="00304AFF">
      <w:pPr>
        <w:pStyle w:val="Paragraphedeliste"/>
        <w:numPr>
          <w:ilvl w:val="0"/>
          <w:numId w:val="31"/>
        </w:numPr>
        <w:spacing w:after="0"/>
        <w:jc w:val="both"/>
        <w:rPr>
          <w:rFonts w:asciiTheme="minorHAnsi" w:hAnsiTheme="minorHAnsi"/>
          <w:sz w:val="24"/>
          <w:szCs w:val="24"/>
        </w:rPr>
      </w:pPr>
      <w:r w:rsidRPr="00BC5F97">
        <w:rPr>
          <w:rFonts w:asciiTheme="minorHAnsi" w:hAnsiTheme="minorHAnsi"/>
          <w:sz w:val="24"/>
          <w:szCs w:val="24"/>
        </w:rPr>
        <w:lastRenderedPageBreak/>
        <w:t>l'atelier de Goma, qui avait regroupé les acteurs du secteur minier artisanal du Nord-Kivu, Sud-Kivu, Maniema et de la Province Orientale démembrée;</w:t>
      </w:r>
    </w:p>
    <w:p w:rsidR="00FE7EBF" w:rsidRPr="00BC5F97" w:rsidRDefault="00FE7EBF" w:rsidP="00304AFF">
      <w:pPr>
        <w:pStyle w:val="Paragraphedeliste"/>
        <w:numPr>
          <w:ilvl w:val="0"/>
          <w:numId w:val="31"/>
        </w:numPr>
        <w:spacing w:after="0"/>
        <w:jc w:val="both"/>
        <w:rPr>
          <w:rFonts w:asciiTheme="minorHAnsi" w:hAnsiTheme="minorHAnsi"/>
          <w:sz w:val="24"/>
          <w:szCs w:val="24"/>
        </w:rPr>
      </w:pPr>
      <w:r w:rsidRPr="00BC5F97">
        <w:rPr>
          <w:rFonts w:asciiTheme="minorHAnsi" w:hAnsiTheme="minorHAnsi"/>
          <w:sz w:val="24"/>
          <w:szCs w:val="24"/>
        </w:rPr>
        <w:t>l'atelier de Lubumbashi.</w:t>
      </w:r>
    </w:p>
    <w:p w:rsidR="00FE7EBF" w:rsidRPr="00BC5F97" w:rsidRDefault="00FE7EBF" w:rsidP="00FE7EBF">
      <w:pPr>
        <w:pStyle w:val="Paragraphedeliste"/>
        <w:spacing w:after="0"/>
        <w:ind w:left="0"/>
        <w:jc w:val="both"/>
        <w:rPr>
          <w:rFonts w:asciiTheme="minorHAnsi" w:hAnsiTheme="minorHAnsi"/>
          <w:sz w:val="24"/>
          <w:szCs w:val="24"/>
        </w:rPr>
      </w:pPr>
      <w:r w:rsidRPr="00BC5F97">
        <w:rPr>
          <w:rFonts w:asciiTheme="minorHAnsi" w:hAnsiTheme="minorHAnsi"/>
          <w:sz w:val="24"/>
          <w:szCs w:val="24"/>
        </w:rPr>
        <w:t>Après ces différents ateliers, les Experts du Secrétariat Technique ont été déployés dans les provinces démembrées de Bandundu, Equateur, Province Orie</w:t>
      </w:r>
      <w:r w:rsidR="00304AFF">
        <w:rPr>
          <w:rFonts w:asciiTheme="minorHAnsi" w:hAnsiTheme="minorHAnsi"/>
          <w:sz w:val="24"/>
          <w:szCs w:val="24"/>
        </w:rPr>
        <w:t xml:space="preserve">ntale et du Katanga en missions </w:t>
      </w:r>
      <w:r w:rsidRPr="00BC5F97">
        <w:rPr>
          <w:rFonts w:asciiTheme="minorHAnsi" w:hAnsiTheme="minorHAnsi"/>
          <w:sz w:val="24"/>
          <w:szCs w:val="24"/>
        </w:rPr>
        <w:t>de sensibilisation à la collecte des données pour les Rapports pilotes ITIE-RDC 2014-Artisanat minier et Forestier (A&amp;F).</w:t>
      </w:r>
    </w:p>
    <w:p w:rsidR="00FE7EBF" w:rsidRPr="00BC5F97" w:rsidRDefault="00FE7EBF" w:rsidP="00FE7EBF">
      <w:pPr>
        <w:jc w:val="both"/>
        <w:rPr>
          <w:rFonts w:asciiTheme="minorHAnsi" w:hAnsiTheme="minorHAnsi"/>
          <w:b/>
          <w:color w:val="0070C0"/>
          <w:sz w:val="24"/>
          <w:szCs w:val="24"/>
        </w:rPr>
      </w:pPr>
      <w:r w:rsidRPr="00BC5F97">
        <w:rPr>
          <w:rFonts w:asciiTheme="minorHAnsi" w:hAnsiTheme="minorHAnsi"/>
          <w:b/>
          <w:color w:val="0070C0"/>
          <w:sz w:val="24"/>
          <w:szCs w:val="24"/>
        </w:rPr>
        <w:t>III. Traitement de la documentation et de l'information</w:t>
      </w:r>
    </w:p>
    <w:p w:rsidR="00FE7EBF" w:rsidRPr="00BC5F97" w:rsidRDefault="00FE7EBF" w:rsidP="00FE7EBF">
      <w:pPr>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t>a) Interprétation des données chiffrées du cadrage et du contexte</w:t>
      </w:r>
    </w:p>
    <w:p w:rsidR="00FE7EBF" w:rsidRPr="00BC5F97" w:rsidRDefault="00FE7EBF" w:rsidP="00FE7EBF">
      <w:pPr>
        <w:spacing w:after="0" w:line="240" w:lineRule="auto"/>
        <w:jc w:val="both"/>
        <w:rPr>
          <w:rFonts w:asciiTheme="minorHAnsi" w:hAnsiTheme="minorHAnsi"/>
          <w:sz w:val="24"/>
          <w:szCs w:val="24"/>
        </w:rPr>
      </w:pPr>
      <w:r w:rsidRPr="00BC5F97">
        <w:rPr>
          <w:rFonts w:asciiTheme="minorHAnsi" w:hAnsiTheme="minorHAnsi"/>
          <w:sz w:val="24"/>
          <w:szCs w:val="24"/>
        </w:rPr>
        <w:t xml:space="preserve">Les résultats de deux études de cadrage menées respectivement par les Cabinets </w:t>
      </w:r>
      <w:r w:rsidRPr="00BC5F97">
        <w:rPr>
          <w:rFonts w:asciiTheme="minorHAnsi" w:hAnsiTheme="minorHAnsi" w:cs="Arial"/>
          <w:sz w:val="24"/>
          <w:szCs w:val="24"/>
          <w:lang w:val="fr-CD"/>
        </w:rPr>
        <w:t>PricewaterhouseCoopers</w:t>
      </w:r>
      <w:r w:rsidRPr="00BC5F97">
        <w:rPr>
          <w:rFonts w:asciiTheme="minorHAnsi" w:hAnsiTheme="minorHAnsi"/>
          <w:sz w:val="24"/>
          <w:szCs w:val="24"/>
        </w:rPr>
        <w:t>, pour le secteur minier artisanal, et Moore Stephens, pour le secteur forestier ont révélé que les revenus de l'Etat réalisés en 2014 étaient de</w:t>
      </w:r>
    </w:p>
    <w:p w:rsidR="00FE7EBF" w:rsidRPr="00BC5F97" w:rsidRDefault="00FE7EBF" w:rsidP="00FE7EBF">
      <w:pPr>
        <w:spacing w:after="0" w:line="240" w:lineRule="auto"/>
        <w:jc w:val="both"/>
        <w:rPr>
          <w:rFonts w:asciiTheme="minorHAnsi" w:hAnsiTheme="minorHAnsi"/>
          <w:sz w:val="24"/>
          <w:szCs w:val="24"/>
        </w:rPr>
      </w:pPr>
      <w:r w:rsidRPr="00BC5F97">
        <w:rPr>
          <w:rFonts w:asciiTheme="minorHAnsi" w:hAnsiTheme="minorHAnsi"/>
          <w:b/>
          <w:bCs/>
          <w:sz w:val="24"/>
          <w:szCs w:val="24"/>
        </w:rPr>
        <w:t>9 878 569 USD</w:t>
      </w:r>
      <w:r w:rsidRPr="00BC5F97">
        <w:rPr>
          <w:rFonts w:asciiTheme="minorHAnsi" w:hAnsiTheme="minorHAnsi"/>
          <w:sz w:val="24"/>
          <w:szCs w:val="24"/>
        </w:rPr>
        <w:t xml:space="preserve"> pour l'artisanat minier, et de</w:t>
      </w:r>
      <w:r w:rsidRPr="00BC5F97">
        <w:rPr>
          <w:rFonts w:asciiTheme="minorHAnsi" w:hAnsiTheme="minorHAnsi"/>
          <w:b/>
          <w:sz w:val="24"/>
          <w:szCs w:val="24"/>
        </w:rPr>
        <w:t>8 356 422 USD</w:t>
      </w:r>
      <w:r w:rsidRPr="00BC5F97">
        <w:rPr>
          <w:rFonts w:asciiTheme="minorHAnsi" w:hAnsiTheme="minorHAnsi"/>
          <w:sz w:val="24"/>
          <w:szCs w:val="24"/>
        </w:rPr>
        <w:t xml:space="preserve"> pour la forêt.   </w:t>
      </w:r>
    </w:p>
    <w:p w:rsidR="00FE7EBF" w:rsidRPr="00BC5F97" w:rsidRDefault="00FE7EBF" w:rsidP="001C2230">
      <w:pPr>
        <w:spacing w:before="240"/>
        <w:jc w:val="both"/>
        <w:rPr>
          <w:rFonts w:asciiTheme="minorHAnsi" w:hAnsiTheme="minorHAnsi"/>
          <w:sz w:val="24"/>
          <w:szCs w:val="24"/>
        </w:rPr>
      </w:pPr>
      <w:r w:rsidRPr="00BC5F97">
        <w:rPr>
          <w:rFonts w:asciiTheme="minorHAnsi" w:hAnsiTheme="minorHAnsi"/>
          <w:sz w:val="24"/>
          <w:szCs w:val="24"/>
        </w:rPr>
        <w:t>Au regard de ces chiffres, il y a lieu de constater que la contribution précise de l'artisanat minier et de la forêt aux recettes fiscales de l'Etat reste très faible, à raison notamment,</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-du caractère informel généralisé qui est en contradiction avec la mission de l'ITIE dont le principe fondamental repose sur le rapprochement des flux de paiements et de revenus officiels;</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-de l'absence des Services de l'Etat dans certaines zones d'exploitation;</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-des ponctions opérées par certains agents véreux sur les recettes de l'Etat;</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-de l’immixtion  des autorités  politico-administratives et militaires dans l'exploitation minière artisanale et forestière;</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-de la détention par ces mêmes autorités des unités de production minières artisanales et forestières qui ne paient rien au fisc;</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-etc.</w:t>
      </w:r>
    </w:p>
    <w:p w:rsidR="00FE7EBF" w:rsidRPr="001C2230" w:rsidRDefault="00FE7EBF" w:rsidP="00FE7EBF">
      <w:pPr>
        <w:spacing w:after="0"/>
        <w:jc w:val="both"/>
        <w:rPr>
          <w:rFonts w:asciiTheme="minorHAnsi" w:hAnsiTheme="minorHAnsi"/>
          <w:b/>
          <w:color w:val="385623" w:themeColor="accent6" w:themeShade="80"/>
          <w:sz w:val="8"/>
          <w:szCs w:val="24"/>
        </w:rPr>
      </w:pPr>
    </w:p>
    <w:p w:rsidR="00FE7EBF" w:rsidRPr="00BC5F97" w:rsidRDefault="00FE7EBF" w:rsidP="00FE7EBF">
      <w:pPr>
        <w:spacing w:after="0"/>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t>b) Eléments des rapports de missions du Secrétariat Technique sur terrain</w:t>
      </w:r>
    </w:p>
    <w:p w:rsidR="00FE7EBF" w:rsidRPr="001C2230" w:rsidRDefault="00FE7EBF" w:rsidP="00FE7EBF">
      <w:pPr>
        <w:spacing w:after="0"/>
        <w:jc w:val="both"/>
        <w:rPr>
          <w:rFonts w:asciiTheme="minorHAnsi" w:hAnsiTheme="minorHAnsi"/>
          <w:b/>
          <w:color w:val="385623" w:themeColor="accent6" w:themeShade="80"/>
          <w:sz w:val="8"/>
          <w:szCs w:val="24"/>
        </w:rPr>
      </w:pPr>
    </w:p>
    <w:p w:rsidR="00FE7EBF" w:rsidRPr="00BC5F97" w:rsidRDefault="00FE7EBF" w:rsidP="00C7360A">
      <w:pPr>
        <w:pStyle w:val="Paragraphedeliste"/>
        <w:numPr>
          <w:ilvl w:val="0"/>
          <w:numId w:val="22"/>
        </w:numPr>
        <w:spacing w:after="200" w:line="276" w:lineRule="auto"/>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t>Secteur minier artisanal</w:t>
      </w:r>
    </w:p>
    <w:p w:rsidR="00FE7EBF" w:rsidRPr="00BC5F97" w:rsidRDefault="00FE7EBF" w:rsidP="00FE7EBF">
      <w:pPr>
        <w:pStyle w:val="Paragraphedeliste"/>
        <w:ind w:left="0"/>
        <w:jc w:val="both"/>
        <w:rPr>
          <w:rFonts w:asciiTheme="minorHAnsi" w:hAnsiTheme="minorHAnsi"/>
          <w:color w:val="000000" w:themeColor="text1"/>
          <w:sz w:val="24"/>
          <w:szCs w:val="24"/>
        </w:rPr>
      </w:pPr>
      <w:r w:rsidRPr="00BC5F97">
        <w:rPr>
          <w:rFonts w:asciiTheme="minorHAnsi" w:hAnsiTheme="minorHAnsi"/>
          <w:color w:val="000000" w:themeColor="text1"/>
          <w:sz w:val="24"/>
          <w:szCs w:val="24"/>
        </w:rPr>
        <w:t xml:space="preserve">Les missions de collecte ont couvert la Province du Nord Kivu et partiellement celles du Sud Kivu et la  Province Orientale démembrée. Elles n’ont pas couvert les provinces du Katanga  et  les </w:t>
      </w:r>
      <w:r w:rsidRPr="001D6149">
        <w:rPr>
          <w:rFonts w:asciiTheme="minorHAnsi" w:hAnsiTheme="minorHAnsi"/>
          <w:color w:val="000000" w:themeColor="text1"/>
          <w:sz w:val="24"/>
          <w:szCs w:val="24"/>
        </w:rPr>
        <w:t>deux  Kasaï</w:t>
      </w:r>
      <w:r w:rsidRPr="00BC5F97">
        <w:rPr>
          <w:rFonts w:asciiTheme="minorHAnsi" w:hAnsiTheme="minorHAnsi"/>
          <w:color w:val="000000" w:themeColor="text1"/>
          <w:sz w:val="24"/>
          <w:szCs w:val="24"/>
        </w:rPr>
        <w:t xml:space="preserve"> démembrées ainsi que celle du Maniema  concernées également par l’exploitation artisanale pour des raisons évoquées ci-dessus </w:t>
      </w:r>
    </w:p>
    <w:p w:rsidR="00FE7EBF" w:rsidRPr="00BC5F97" w:rsidRDefault="00FE7EBF" w:rsidP="00FE7EBF">
      <w:pPr>
        <w:pStyle w:val="Paragraphedeliste"/>
        <w:ind w:left="0"/>
        <w:jc w:val="both"/>
        <w:rPr>
          <w:rFonts w:asciiTheme="minorHAnsi" w:hAnsiTheme="minorHAnsi"/>
          <w:color w:val="000000" w:themeColor="text1"/>
          <w:sz w:val="24"/>
          <w:szCs w:val="24"/>
        </w:rPr>
      </w:pPr>
      <w:r w:rsidRPr="00BC5F97">
        <w:rPr>
          <w:rFonts w:asciiTheme="minorHAnsi" w:hAnsiTheme="minorHAnsi"/>
          <w:color w:val="000000" w:themeColor="text1"/>
          <w:sz w:val="24"/>
          <w:szCs w:val="24"/>
        </w:rPr>
        <w:t xml:space="preserve">De l’analyse et du  traitement des données reçues des entités perceptrices étatiques dans ces trois provinces, il ressort que les Recettes  perçues en 2014  s’élèvent à 5.634.809.5$ USD  réparties comme suit :    </w:t>
      </w:r>
    </w:p>
    <w:tbl>
      <w:tblPr>
        <w:tblpPr w:leftFromText="141" w:rightFromText="141" w:vertAnchor="text" w:tblpY="1"/>
        <w:tblOverlap w:val="neve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47"/>
        <w:gridCol w:w="2977"/>
      </w:tblGrid>
      <w:tr w:rsidR="00FE7EBF" w:rsidRPr="00BC5F97" w:rsidTr="00FE7EBF">
        <w:trPr>
          <w:trHeight w:val="290"/>
        </w:trPr>
        <w:tc>
          <w:tcPr>
            <w:tcW w:w="2547" w:type="dxa"/>
            <w:shd w:val="clear" w:color="000000" w:fill="9BC2E6"/>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ENTITE</w:t>
            </w:r>
          </w:p>
        </w:tc>
        <w:tc>
          <w:tcPr>
            <w:tcW w:w="2977" w:type="dxa"/>
            <w:shd w:val="clear" w:color="000000" w:fill="9BC2E6"/>
            <w:noWrap/>
            <w:vAlign w:val="bottom"/>
            <w:hideMark/>
          </w:tcPr>
          <w:p w:rsidR="00FE7EBF" w:rsidRPr="00BC5F97" w:rsidRDefault="00FE7EBF" w:rsidP="00FE7EBF">
            <w:pPr>
              <w:spacing w:after="0" w:line="240" w:lineRule="auto"/>
              <w:ind w:left="213"/>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MONTANT en $USD</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DGI</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1.067.274,82</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DGDA</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383.410,12</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DGRAD</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886.740,70</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DIR PROV RECET.</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916.109,24</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 xml:space="preserve">CEEC </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410.309,81</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SAESCAM</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1.223.825,36</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lastRenderedPageBreak/>
              <w:t>ITRI</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1.500,00</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AUTRES ENTITES</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745.639,10</w:t>
            </w:r>
          </w:p>
        </w:tc>
      </w:tr>
      <w:tr w:rsidR="00FE7EBF" w:rsidRPr="00BC5F97" w:rsidTr="00FE7EBF">
        <w:trPr>
          <w:trHeight w:val="290"/>
        </w:trPr>
        <w:tc>
          <w:tcPr>
            <w:tcW w:w="2547" w:type="dxa"/>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color w:val="000000"/>
                <w:sz w:val="24"/>
                <w:szCs w:val="24"/>
                <w:lang w:eastAsia="fr-FR"/>
              </w:rPr>
            </w:pPr>
            <w:r w:rsidRPr="00BC5F97">
              <w:rPr>
                <w:rFonts w:asciiTheme="minorHAnsi" w:eastAsia="Times New Roman" w:hAnsiTheme="minorHAnsi"/>
                <w:color w:val="000000"/>
                <w:sz w:val="24"/>
                <w:szCs w:val="24"/>
                <w:lang w:eastAsia="fr-FR"/>
              </w:rPr>
              <w:t>TOTAL GENERAL</w:t>
            </w:r>
          </w:p>
        </w:tc>
        <w:tc>
          <w:tcPr>
            <w:tcW w:w="2977" w:type="dxa"/>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b/>
                <w:bCs/>
                <w:color w:val="000000"/>
                <w:sz w:val="24"/>
                <w:szCs w:val="24"/>
                <w:lang w:eastAsia="fr-FR"/>
              </w:rPr>
            </w:pPr>
            <w:r w:rsidRPr="00BC5F97">
              <w:rPr>
                <w:rFonts w:asciiTheme="minorHAnsi" w:eastAsia="Times New Roman" w:hAnsiTheme="minorHAnsi"/>
                <w:b/>
                <w:bCs/>
                <w:color w:val="000000"/>
                <w:sz w:val="24"/>
                <w:szCs w:val="24"/>
                <w:lang w:eastAsia="fr-FR"/>
              </w:rPr>
              <w:t>5.634.808.91</w:t>
            </w:r>
          </w:p>
        </w:tc>
      </w:tr>
    </w:tbl>
    <w:p w:rsidR="00FE7EBF" w:rsidRPr="00BC5F97" w:rsidRDefault="00FE7EBF" w:rsidP="00FE7EBF">
      <w:pPr>
        <w:pStyle w:val="Paragraphedeliste"/>
        <w:jc w:val="both"/>
        <w:rPr>
          <w:rFonts w:asciiTheme="minorHAnsi" w:hAnsiTheme="minorHAnsi"/>
          <w:b/>
          <w:color w:val="385623" w:themeColor="accent6" w:themeShade="80"/>
          <w:sz w:val="24"/>
          <w:szCs w:val="24"/>
        </w:rPr>
      </w:pPr>
    </w:p>
    <w:p w:rsidR="00FE7EBF" w:rsidRPr="00BC5F97" w:rsidRDefault="00FE7EBF" w:rsidP="00FE7EBF">
      <w:pPr>
        <w:pStyle w:val="Paragraphedeliste"/>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br w:type="textWrapping" w:clear="all"/>
      </w:r>
    </w:p>
    <w:p w:rsidR="00FE7EBF" w:rsidRPr="00BC5F97" w:rsidRDefault="00FE7EBF" w:rsidP="00FE7EBF">
      <w:pPr>
        <w:pStyle w:val="Paragraphedeliste"/>
        <w:jc w:val="both"/>
        <w:rPr>
          <w:rFonts w:asciiTheme="minorHAnsi" w:hAnsiTheme="minorHAnsi"/>
          <w:i/>
          <w:color w:val="385623" w:themeColor="accent6" w:themeShade="80"/>
          <w:sz w:val="24"/>
          <w:szCs w:val="24"/>
        </w:rPr>
      </w:pPr>
      <w:r w:rsidRPr="00BC5F97">
        <w:rPr>
          <w:rFonts w:asciiTheme="minorHAnsi" w:hAnsiTheme="minorHAnsi"/>
          <w:i/>
          <w:color w:val="385623" w:themeColor="accent6" w:themeShade="80"/>
          <w:sz w:val="24"/>
          <w:szCs w:val="24"/>
        </w:rPr>
        <w:t>Note : Certaines Entités perceptrices n’ont pas transmis les données  dans le délai (ex: SAESSCAM Sud Kivu). D’autres ont carrément refusé de les communiquer (cas de ITRI Nord Kivu)</w:t>
      </w:r>
    </w:p>
    <w:p w:rsidR="00FE7EBF" w:rsidRPr="00BC5F97" w:rsidRDefault="00FE7EBF" w:rsidP="00C7360A">
      <w:pPr>
        <w:pStyle w:val="Paragraphedeliste"/>
        <w:numPr>
          <w:ilvl w:val="0"/>
          <w:numId w:val="22"/>
        </w:numPr>
        <w:spacing w:after="200" w:line="276" w:lineRule="auto"/>
        <w:jc w:val="both"/>
        <w:rPr>
          <w:rFonts w:asciiTheme="minorHAnsi" w:hAnsiTheme="minorHAnsi"/>
          <w:b/>
          <w:color w:val="385623" w:themeColor="accent6" w:themeShade="80"/>
          <w:sz w:val="24"/>
          <w:szCs w:val="24"/>
        </w:rPr>
      </w:pPr>
      <w:r w:rsidRPr="00BC5F97">
        <w:rPr>
          <w:rFonts w:asciiTheme="minorHAnsi" w:hAnsiTheme="minorHAnsi"/>
          <w:b/>
          <w:color w:val="385623" w:themeColor="accent6" w:themeShade="80"/>
          <w:sz w:val="24"/>
          <w:szCs w:val="24"/>
        </w:rPr>
        <w:t>Secteur forestier</w:t>
      </w:r>
    </w:p>
    <w:p w:rsidR="00FE7EBF" w:rsidRPr="00BC5F97" w:rsidRDefault="00FE7EBF" w:rsidP="00FE7EBF">
      <w:pPr>
        <w:pStyle w:val="Paragraphedeliste"/>
        <w:ind w:left="0"/>
        <w:jc w:val="both"/>
        <w:rPr>
          <w:rFonts w:asciiTheme="minorHAnsi" w:hAnsiTheme="minorHAnsi"/>
          <w:color w:val="000000" w:themeColor="text1"/>
          <w:sz w:val="24"/>
          <w:szCs w:val="24"/>
        </w:rPr>
      </w:pPr>
      <w:r w:rsidRPr="00BC5F97">
        <w:rPr>
          <w:rFonts w:asciiTheme="minorHAnsi" w:hAnsiTheme="minorHAnsi"/>
          <w:color w:val="000000" w:themeColor="text1"/>
          <w:sz w:val="24"/>
          <w:szCs w:val="24"/>
        </w:rPr>
        <w:t xml:space="preserve">A l'issue des missions effectuées dans les provinces démembrées de Bandundu, Equateur et Province Orientale, et après analyse et compilations des données, nous avons obtenu que les recettes de l'Etat perçues par ses différentes Entités en 2014 s'élèvent à </w:t>
      </w:r>
      <w:r w:rsidRPr="00BC5F97">
        <w:rPr>
          <w:rFonts w:asciiTheme="minorHAnsi" w:eastAsia="Times New Roman" w:hAnsiTheme="minorHAnsi"/>
          <w:b/>
          <w:bCs/>
          <w:color w:val="000000" w:themeColor="text1"/>
          <w:sz w:val="24"/>
          <w:szCs w:val="24"/>
          <w:lang w:eastAsia="fr-FR"/>
        </w:rPr>
        <w:t>10 388 146,23 USD</w:t>
      </w:r>
      <w:r w:rsidRPr="00BC5F97">
        <w:rPr>
          <w:rFonts w:asciiTheme="minorHAnsi" w:hAnsiTheme="minorHAnsi"/>
          <w:color w:val="000000" w:themeColor="text1"/>
          <w:sz w:val="24"/>
          <w:szCs w:val="24"/>
        </w:rPr>
        <w:t>, ventilées comme suit:</w:t>
      </w:r>
    </w:p>
    <w:tbl>
      <w:tblPr>
        <w:tblW w:w="5386" w:type="dxa"/>
        <w:tblInd w:w="1975" w:type="dxa"/>
        <w:tblCellMar>
          <w:left w:w="70" w:type="dxa"/>
          <w:right w:w="70" w:type="dxa"/>
        </w:tblCellMar>
        <w:tblLook w:val="04A0"/>
      </w:tblPr>
      <w:tblGrid>
        <w:gridCol w:w="1843"/>
        <w:gridCol w:w="3543"/>
      </w:tblGrid>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000000" w:fill="FCD5B4"/>
            <w:noWrap/>
            <w:vAlign w:val="bottom"/>
            <w:hideMark/>
          </w:tcPr>
          <w:p w:rsidR="00FE7EBF" w:rsidRPr="00BC5F97" w:rsidRDefault="00FE7EBF" w:rsidP="00FE7EBF">
            <w:pPr>
              <w:spacing w:after="0" w:line="240" w:lineRule="auto"/>
              <w:rPr>
                <w:rFonts w:asciiTheme="minorHAnsi" w:eastAsia="Times New Roman" w:hAnsiTheme="minorHAnsi"/>
                <w:b/>
                <w:bCs/>
                <w:color w:val="000000"/>
                <w:sz w:val="24"/>
                <w:szCs w:val="24"/>
                <w:lang w:eastAsia="fr-FR"/>
              </w:rPr>
            </w:pPr>
            <w:r w:rsidRPr="00BC5F97">
              <w:rPr>
                <w:rFonts w:asciiTheme="minorHAnsi" w:eastAsia="Times New Roman" w:hAnsiTheme="minorHAnsi"/>
                <w:b/>
                <w:bCs/>
                <w:color w:val="000000"/>
                <w:sz w:val="24"/>
                <w:szCs w:val="24"/>
                <w:lang w:eastAsia="fr-FR"/>
              </w:rPr>
              <w:t>Régies</w:t>
            </w:r>
          </w:p>
        </w:tc>
        <w:tc>
          <w:tcPr>
            <w:tcW w:w="3543" w:type="dxa"/>
            <w:tcBorders>
              <w:top w:val="nil"/>
              <w:left w:val="nil"/>
              <w:bottom w:val="single" w:sz="8" w:space="0" w:color="auto"/>
              <w:right w:val="single" w:sz="4" w:space="0" w:color="auto"/>
            </w:tcBorders>
            <w:shd w:val="clear" w:color="000000" w:fill="FCD5B4"/>
            <w:noWrap/>
            <w:vAlign w:val="bottom"/>
            <w:hideMark/>
          </w:tcPr>
          <w:p w:rsidR="00FE7EBF" w:rsidRPr="00BC5F97" w:rsidRDefault="00FE7EBF" w:rsidP="00FE7EBF">
            <w:pPr>
              <w:spacing w:after="0" w:line="240" w:lineRule="auto"/>
              <w:jc w:val="right"/>
              <w:rPr>
                <w:rFonts w:asciiTheme="minorHAnsi" w:eastAsia="Times New Roman" w:hAnsiTheme="minorHAnsi"/>
                <w:b/>
                <w:bCs/>
                <w:color w:val="000000"/>
                <w:sz w:val="24"/>
                <w:szCs w:val="24"/>
                <w:lang w:eastAsia="fr-FR"/>
              </w:rPr>
            </w:pPr>
            <w:r w:rsidRPr="00BC5F97">
              <w:rPr>
                <w:rFonts w:asciiTheme="minorHAnsi" w:eastAsia="Times New Roman" w:hAnsiTheme="minorHAnsi"/>
                <w:b/>
                <w:bCs/>
                <w:color w:val="000000"/>
                <w:sz w:val="24"/>
                <w:szCs w:val="24"/>
                <w:lang w:eastAsia="fr-FR"/>
              </w:rPr>
              <w:t>Recettes perçues en USD</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DGI</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ind w:hanging="212"/>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1 700 121,00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DGRAD</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ind w:left="-212" w:hanging="212"/>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2 338 121,23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DGDA</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1 069 084,00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DGREQ</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            2 220 341,00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DGRPO</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1 780 975,00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BRB</w:t>
            </w:r>
          </w:p>
        </w:tc>
        <w:tc>
          <w:tcPr>
            <w:tcW w:w="3543" w:type="dxa"/>
            <w:tcBorders>
              <w:top w:val="nil"/>
              <w:left w:val="nil"/>
              <w:bottom w:val="single" w:sz="8" w:space="0" w:color="auto"/>
              <w:right w:val="single" w:sz="4" w:space="0" w:color="auto"/>
            </w:tcBorders>
            <w:shd w:val="clear" w:color="auto" w:fill="auto"/>
            <w:noWrap/>
            <w:vAlign w:val="bottom"/>
            <w:hideMark/>
          </w:tcPr>
          <w:p w:rsidR="00FE7EBF" w:rsidRPr="00BC5F97" w:rsidRDefault="00FE7EBF" w:rsidP="00FE7EBF">
            <w:pPr>
              <w:spacing w:after="0" w:line="240" w:lineRule="auto"/>
              <w:jc w:val="right"/>
              <w:rPr>
                <w:rFonts w:asciiTheme="minorHAnsi" w:eastAsia="Times New Roman" w:hAnsiTheme="minorHAnsi"/>
                <w:bCs/>
                <w:color w:val="000000"/>
                <w:sz w:val="24"/>
                <w:szCs w:val="24"/>
                <w:lang w:eastAsia="fr-FR"/>
              </w:rPr>
            </w:pPr>
            <w:r w:rsidRPr="00BC5F97">
              <w:rPr>
                <w:rFonts w:asciiTheme="minorHAnsi" w:eastAsia="Times New Roman" w:hAnsiTheme="minorHAnsi"/>
                <w:bCs/>
                <w:color w:val="000000"/>
                <w:sz w:val="24"/>
                <w:szCs w:val="24"/>
                <w:lang w:eastAsia="fr-FR"/>
              </w:rPr>
              <w:t xml:space="preserve">1 279 504,00   </w:t>
            </w:r>
          </w:p>
        </w:tc>
      </w:tr>
      <w:tr w:rsidR="00FE7EBF" w:rsidRPr="00BC5F97" w:rsidTr="00B050D4">
        <w:trPr>
          <w:trHeight w:val="315"/>
        </w:trPr>
        <w:tc>
          <w:tcPr>
            <w:tcW w:w="1843" w:type="dxa"/>
            <w:tcBorders>
              <w:top w:val="nil"/>
              <w:left w:val="single" w:sz="8" w:space="0" w:color="auto"/>
              <w:bottom w:val="single" w:sz="8" w:space="0" w:color="auto"/>
              <w:right w:val="single" w:sz="4" w:space="0" w:color="auto"/>
            </w:tcBorders>
            <w:shd w:val="clear" w:color="000000" w:fill="FCD5B4"/>
            <w:noWrap/>
            <w:vAlign w:val="bottom"/>
            <w:hideMark/>
          </w:tcPr>
          <w:p w:rsidR="00FE7EBF" w:rsidRPr="00BC5F97" w:rsidRDefault="00FE7EBF" w:rsidP="00FE7EBF">
            <w:pPr>
              <w:spacing w:after="0" w:line="240" w:lineRule="auto"/>
              <w:rPr>
                <w:rFonts w:asciiTheme="minorHAnsi" w:eastAsia="Times New Roman" w:hAnsiTheme="minorHAnsi"/>
                <w:b/>
                <w:bCs/>
                <w:color w:val="000000"/>
                <w:sz w:val="24"/>
                <w:szCs w:val="24"/>
                <w:lang w:eastAsia="fr-FR"/>
              </w:rPr>
            </w:pPr>
            <w:r w:rsidRPr="00BC5F97">
              <w:rPr>
                <w:rFonts w:asciiTheme="minorHAnsi" w:eastAsia="Times New Roman" w:hAnsiTheme="minorHAnsi"/>
                <w:b/>
                <w:bCs/>
                <w:color w:val="000000"/>
                <w:sz w:val="24"/>
                <w:szCs w:val="24"/>
                <w:lang w:eastAsia="fr-FR"/>
              </w:rPr>
              <w:t>Total</w:t>
            </w:r>
          </w:p>
        </w:tc>
        <w:tc>
          <w:tcPr>
            <w:tcW w:w="3543" w:type="dxa"/>
            <w:tcBorders>
              <w:top w:val="nil"/>
              <w:left w:val="nil"/>
              <w:bottom w:val="single" w:sz="8" w:space="0" w:color="auto"/>
              <w:right w:val="single" w:sz="4" w:space="0" w:color="auto"/>
            </w:tcBorders>
            <w:shd w:val="clear" w:color="000000" w:fill="FCD5B4"/>
            <w:noWrap/>
            <w:vAlign w:val="bottom"/>
            <w:hideMark/>
          </w:tcPr>
          <w:p w:rsidR="00FE7EBF" w:rsidRPr="00BC5F97" w:rsidRDefault="00FE7EBF" w:rsidP="00FE7EBF">
            <w:pPr>
              <w:spacing w:after="0" w:line="240" w:lineRule="auto"/>
              <w:jc w:val="right"/>
              <w:rPr>
                <w:rFonts w:asciiTheme="minorHAnsi" w:eastAsia="Times New Roman" w:hAnsiTheme="minorHAnsi"/>
                <w:b/>
                <w:bCs/>
                <w:color w:val="000000"/>
                <w:sz w:val="24"/>
                <w:szCs w:val="24"/>
                <w:lang w:eastAsia="fr-FR"/>
              </w:rPr>
            </w:pPr>
            <w:r w:rsidRPr="00BC5F97">
              <w:rPr>
                <w:rFonts w:asciiTheme="minorHAnsi" w:eastAsia="Times New Roman" w:hAnsiTheme="minorHAnsi"/>
                <w:b/>
                <w:bCs/>
                <w:color w:val="000000"/>
                <w:sz w:val="24"/>
                <w:szCs w:val="24"/>
                <w:lang w:eastAsia="fr-FR"/>
              </w:rPr>
              <w:t xml:space="preserve">10 388 146,23   </w:t>
            </w:r>
          </w:p>
        </w:tc>
      </w:tr>
    </w:tbl>
    <w:p w:rsidR="00FE7EBF" w:rsidRPr="00BC5F97" w:rsidRDefault="00FE7EBF" w:rsidP="001C2230">
      <w:pPr>
        <w:spacing w:before="240" w:after="0"/>
        <w:jc w:val="both"/>
        <w:rPr>
          <w:rFonts w:asciiTheme="minorHAnsi" w:hAnsiTheme="minorHAnsi"/>
          <w:sz w:val="24"/>
          <w:szCs w:val="24"/>
        </w:rPr>
      </w:pPr>
      <w:r w:rsidRPr="00BC5F97">
        <w:rPr>
          <w:rFonts w:asciiTheme="minorHAnsi" w:hAnsiTheme="minorHAnsi"/>
          <w:sz w:val="24"/>
          <w:szCs w:val="24"/>
        </w:rPr>
        <w:t>Dans la collecte de ces informations, nous avons rencontré des problèmes liés, notamment à:</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-une faible capacité de conservation des informations qui ne rassure pas que toutes les recettes avaient été captées pour qu'on juge de leur importance réelle;</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-une forte mobilité des agents, surtout dans les Directions provinciales des recettes;</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-l'appropriation du processus: les personnes formées lors des ateliers susmentionnés ne sont pas, pour la plupart, celles que nous avons trouvées pour nous fournir les informations. Avec ces nouvelles figures, il fallait recommencer à expliquer le processus ITIE en leur demandant en même temps de le comprendre à peine et de fournir les informations, ce qui n'était pas certain et facile.</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Ces différentes missions nous ont également permis d'identifier de nouveaux flux qui n'avaient pas été captés lors des études de cadrage. Il s'agit, p</w:t>
      </w:r>
      <w:r w:rsidRPr="00BC5F97">
        <w:rPr>
          <w:rFonts w:asciiTheme="minorHAnsi" w:hAnsiTheme="minorHAnsi"/>
          <w:color w:val="000000" w:themeColor="text1"/>
          <w:sz w:val="24"/>
          <w:szCs w:val="24"/>
        </w:rPr>
        <w:t>our le secteur forestier, de:</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Permis  de sortie pour les bateaux  chargés  de l’évacuation des grumes des forêts au centre  de traitement;</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Autorisation de stockage  des produits  pétroliers  nécessaires au fonctionnement des machines;</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Taxe sur détention  des instruments de mesure dans les chantiers, usines et ateliers;</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Visite annuelle des ports;</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Homologation Port/Beach;</w:t>
      </w:r>
    </w:p>
    <w:p w:rsidR="00FE7EBF" w:rsidRPr="00BC5F97" w:rsidRDefault="00FE7EBF" w:rsidP="00C7360A">
      <w:pPr>
        <w:pStyle w:val="Paragraphedeliste"/>
        <w:numPr>
          <w:ilvl w:val="0"/>
          <w:numId w:val="23"/>
        </w:numPr>
        <w:spacing w:line="256" w:lineRule="auto"/>
        <w:jc w:val="both"/>
        <w:rPr>
          <w:rFonts w:asciiTheme="minorHAnsi" w:hAnsiTheme="minorHAnsi"/>
          <w:sz w:val="24"/>
          <w:szCs w:val="24"/>
        </w:rPr>
      </w:pPr>
      <w:r w:rsidRPr="00BC5F97">
        <w:rPr>
          <w:rFonts w:asciiTheme="minorHAnsi" w:hAnsiTheme="minorHAnsi"/>
          <w:sz w:val="24"/>
          <w:szCs w:val="24"/>
        </w:rPr>
        <w:t>Autorisation de transport des biens.</w:t>
      </w:r>
    </w:p>
    <w:p w:rsidR="00FE7EBF" w:rsidRPr="001C2230" w:rsidRDefault="00FE7EBF" w:rsidP="00FE7EBF">
      <w:pPr>
        <w:pStyle w:val="Paragraphedeliste"/>
        <w:spacing w:line="256" w:lineRule="auto"/>
        <w:jc w:val="both"/>
        <w:rPr>
          <w:rFonts w:asciiTheme="minorHAnsi" w:hAnsiTheme="minorHAnsi"/>
          <w:sz w:val="16"/>
          <w:szCs w:val="16"/>
        </w:rPr>
      </w:pPr>
    </w:p>
    <w:p w:rsidR="00FE7EBF" w:rsidRPr="00BC5F97" w:rsidRDefault="00FE7EBF" w:rsidP="00FE7EBF">
      <w:pPr>
        <w:pStyle w:val="Paragraphedeliste"/>
        <w:spacing w:line="256" w:lineRule="auto"/>
        <w:ind w:left="0"/>
        <w:jc w:val="both"/>
        <w:rPr>
          <w:rFonts w:asciiTheme="minorHAnsi" w:hAnsiTheme="minorHAnsi"/>
          <w:sz w:val="24"/>
          <w:szCs w:val="24"/>
        </w:rPr>
      </w:pPr>
      <w:r w:rsidRPr="00BC5F97">
        <w:rPr>
          <w:rFonts w:asciiTheme="minorHAnsi" w:hAnsiTheme="minorHAnsi"/>
          <w:sz w:val="24"/>
          <w:szCs w:val="24"/>
        </w:rPr>
        <w:lastRenderedPageBreak/>
        <w:t>Les problèmes cernés ainsi que les informations complémentaires recueillies lors des ateliers et missions, nous ont poussés à développer une argumentation logique sur la problématique de l'intégration de l'artisanat minier et de la forêt dans les rapports ITIE pour en apprécier l'intérêt, l'opportunité et la faisabilité.</w:t>
      </w:r>
    </w:p>
    <w:p w:rsidR="00FE7EBF" w:rsidRPr="00BC5F97" w:rsidRDefault="00FE7EBF" w:rsidP="00FE7EBF">
      <w:pPr>
        <w:spacing w:after="0"/>
        <w:jc w:val="both"/>
        <w:rPr>
          <w:rFonts w:asciiTheme="minorHAnsi" w:hAnsiTheme="minorHAnsi"/>
          <w:b/>
          <w:color w:val="0070C0"/>
          <w:sz w:val="24"/>
          <w:szCs w:val="24"/>
        </w:rPr>
      </w:pPr>
      <w:r w:rsidRPr="00BC5F97">
        <w:rPr>
          <w:rFonts w:asciiTheme="minorHAnsi" w:hAnsiTheme="minorHAnsi"/>
          <w:b/>
          <w:color w:val="0070C0"/>
          <w:sz w:val="24"/>
          <w:szCs w:val="24"/>
        </w:rPr>
        <w:t>IV. Articulation logique des arguments</w:t>
      </w:r>
    </w:p>
    <w:p w:rsidR="00FE7EBF" w:rsidRPr="00BC5F97" w:rsidRDefault="00FE7EBF" w:rsidP="001C2230">
      <w:pPr>
        <w:spacing w:before="240" w:after="0"/>
        <w:jc w:val="both"/>
        <w:rPr>
          <w:rFonts w:asciiTheme="minorHAnsi" w:hAnsiTheme="minorHAnsi"/>
          <w:sz w:val="24"/>
          <w:szCs w:val="24"/>
        </w:rPr>
      </w:pPr>
      <w:r w:rsidRPr="00BC5F97">
        <w:rPr>
          <w:rFonts w:asciiTheme="minorHAnsi" w:hAnsiTheme="minorHAnsi"/>
          <w:sz w:val="24"/>
          <w:szCs w:val="24"/>
        </w:rPr>
        <w:t>Les missions sur terrain effectuées dans les différentes  provinces à forte concentration nous ont, comme nous l'avons dit ci-haut, aidés à cerner un certain nombre de problèmes qui n'ont pas permis d'avoir l'assurance de l'exhaustivité des informations collectées.</w:t>
      </w:r>
    </w:p>
    <w:p w:rsidR="00FE7EBF" w:rsidRPr="00BC5F97" w:rsidRDefault="00FE7EBF" w:rsidP="00FE7EBF">
      <w:pPr>
        <w:spacing w:line="240" w:lineRule="auto"/>
        <w:jc w:val="both"/>
        <w:rPr>
          <w:rFonts w:asciiTheme="minorHAnsi" w:hAnsiTheme="minorHAnsi"/>
          <w:sz w:val="24"/>
          <w:szCs w:val="24"/>
        </w:rPr>
      </w:pPr>
      <w:r w:rsidRPr="00BC5F97">
        <w:rPr>
          <w:rFonts w:asciiTheme="minorHAnsi" w:hAnsiTheme="minorHAnsi"/>
          <w:sz w:val="24"/>
          <w:szCs w:val="24"/>
        </w:rPr>
        <w:t xml:space="preserve">Parmi ces problèmes, nous avons cité fondamentalement le problème de l'appropriation effective du processus ITIE par les acteurs de ces deux secteurs d'une part, et d'autre part, le problème d'archivage ou d'absence d'une base de données au niveau de différentes Entités de l'Etat chargées de recouvrement. </w:t>
      </w:r>
    </w:p>
    <w:p w:rsidR="00FE7EBF" w:rsidRPr="00BC5F97" w:rsidRDefault="00FE7EBF" w:rsidP="00FE7EBF">
      <w:pPr>
        <w:spacing w:line="240" w:lineRule="auto"/>
        <w:jc w:val="both"/>
        <w:rPr>
          <w:rFonts w:asciiTheme="minorHAnsi" w:hAnsiTheme="minorHAnsi"/>
          <w:sz w:val="24"/>
          <w:szCs w:val="24"/>
        </w:rPr>
      </w:pPr>
      <w:r w:rsidRPr="00BC5F97">
        <w:rPr>
          <w:rFonts w:asciiTheme="minorHAnsi" w:hAnsiTheme="minorHAnsi"/>
          <w:sz w:val="24"/>
          <w:szCs w:val="24"/>
        </w:rPr>
        <w:t>En effet, comme les parties déclarantes ne se sont pas encore approprié effectivement le processus, cela ne les motivent pas du tout  à s'impliquer outre mesure pour déclarer correctement à l'ITIE. Et même motivées, l'absence d'une base de données ne leur permet pas, non plus, de  fournir les informations dans les détails requis par le processus de conciliation conformément à la Norme ITIE.</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Le problème d'archivage ou de conservation de l'information est lui-même dû à un  travail encore manuel dans  la plupart des cas, et à une forte mobilité des agents qui a fait que les agents en postes n’avaient pas  la tâche facile de se retrouver dans les paperasses laissées par leurs prédécesseurs pour réunir toutes  les informations. Ce problème de mobilité s'est davantage amplifié avec le découpage des provinces qui a été à la base de nouvelles mises en place. C'est le cas illustratif de la Brigade des Recettes de Bandundu (BRB), devenue Régie Financière du Kwilu (RFIK) où, lors de notre passage, les nouveaux gestionnaires n’avaient pas encore accès à la documentation pour nous fournir des informations.</w:t>
      </w:r>
    </w:p>
    <w:p w:rsidR="00FE7EBF" w:rsidRPr="00BC5F97" w:rsidRDefault="00FE7EBF" w:rsidP="001C2230">
      <w:pPr>
        <w:spacing w:before="240"/>
        <w:jc w:val="both"/>
        <w:rPr>
          <w:rFonts w:asciiTheme="minorHAnsi" w:hAnsiTheme="minorHAnsi"/>
          <w:b/>
          <w:color w:val="0070C0"/>
          <w:sz w:val="24"/>
          <w:szCs w:val="24"/>
        </w:rPr>
      </w:pPr>
      <w:r w:rsidRPr="00BC5F97">
        <w:rPr>
          <w:rFonts w:asciiTheme="minorHAnsi" w:hAnsiTheme="minorHAnsi"/>
          <w:b/>
          <w:color w:val="0070C0"/>
          <w:sz w:val="24"/>
          <w:szCs w:val="24"/>
        </w:rPr>
        <w:t>V. Conclusion et recommandations</w:t>
      </w:r>
    </w:p>
    <w:p w:rsidR="00FE7EBF" w:rsidRPr="00BC5F97" w:rsidRDefault="00FE7EBF" w:rsidP="00FE7EBF">
      <w:pPr>
        <w:jc w:val="both"/>
        <w:rPr>
          <w:rFonts w:asciiTheme="minorHAnsi" w:hAnsiTheme="minorHAnsi"/>
          <w:color w:val="000000" w:themeColor="text1"/>
          <w:sz w:val="24"/>
          <w:szCs w:val="24"/>
        </w:rPr>
      </w:pPr>
      <w:r w:rsidRPr="00BC5F97">
        <w:rPr>
          <w:rFonts w:asciiTheme="minorHAnsi" w:hAnsiTheme="minorHAnsi"/>
          <w:color w:val="000000" w:themeColor="text1"/>
          <w:sz w:val="24"/>
          <w:szCs w:val="24"/>
        </w:rPr>
        <w:t xml:space="preserve">Il est vrai que l'intégration du secteur minier artisanal et du secteur forestier dans les rapports ITIE pourrait </w:t>
      </w:r>
      <w:r w:rsidRPr="00BC5F97">
        <w:rPr>
          <w:rFonts w:asciiTheme="minorHAnsi" w:hAnsiTheme="minorHAnsi"/>
          <w:sz w:val="24"/>
          <w:szCs w:val="24"/>
        </w:rPr>
        <w:t xml:space="preserve"> aider à y instaurer la transparence et la bonne gouvernance, et donc, à accroitre progressivement les revenus de l'Etat. Et là, il y a intérêt pour les Communautés locales de connaître les revenus générés par ces secteurs et d'en débattre.</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Mais, il est aussi vrai qu'au stade actuel, avec tous les problèmes évoqués ci-dessus (l'absence de bases de</w:t>
      </w:r>
      <w:r w:rsidR="001C2230">
        <w:rPr>
          <w:rFonts w:asciiTheme="minorHAnsi" w:hAnsiTheme="minorHAnsi"/>
          <w:sz w:val="24"/>
          <w:szCs w:val="24"/>
        </w:rPr>
        <w:t xml:space="preserve"> données, la mobilité</w:t>
      </w:r>
      <w:r w:rsidRPr="00BC5F97">
        <w:rPr>
          <w:rFonts w:asciiTheme="minorHAnsi" w:hAnsiTheme="minorHAnsi"/>
          <w:sz w:val="24"/>
          <w:szCs w:val="24"/>
        </w:rPr>
        <w:t xml:space="preserve"> des agents dans les Directions des </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 xml:space="preserve">Recettes Provinciales, l'exploitation informelle, l'absence de l'Etat dans certaines zones d'exploitation, la non appropriation effective du processus ITIE par les acteurs), l'exploitation minière artisanale et forestière offre une opportunité relativement petite pour être intégrée dans les rapports ITIE. </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Cette intégration soulève également la question de faisabilité économique du point de vue des coûts qu'elle implique par rapport aux recettes de l'Etat, tout à fait marginales, qui sont collectées.</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lastRenderedPageBreak/>
        <w:t>Nous pensons, pour ce faire, que le temps pour encourager les parties prenantes à soutenir l'intégration et contribuer à sa mise en œuvre efficace est fort déterminant pour la réussite ou l'échec de toute tentative visant à intégrer l'artisanat minier et la forêt dans les rapports ITIE.</w:t>
      </w:r>
    </w:p>
    <w:p w:rsidR="00FE7EBF" w:rsidRPr="00BC5F97" w:rsidRDefault="00FE7EBF" w:rsidP="00FE7EBF">
      <w:pPr>
        <w:rPr>
          <w:rFonts w:asciiTheme="minorHAnsi" w:hAnsiTheme="minorHAnsi"/>
          <w:sz w:val="24"/>
          <w:szCs w:val="24"/>
        </w:rPr>
      </w:pPr>
      <w:r w:rsidRPr="00BC5F97">
        <w:rPr>
          <w:rFonts w:asciiTheme="minorHAnsi" w:hAnsiTheme="minorHAnsi"/>
          <w:sz w:val="24"/>
          <w:szCs w:val="24"/>
        </w:rPr>
        <w:t>Ainsi, après analyse minutieuse de différents problèmes soulevés ci-haut et des résultats obtenus à l'issue de la campagne de sensibilisation, nous recommandons:</w:t>
      </w:r>
    </w:p>
    <w:p w:rsidR="00FE7EBF" w:rsidRPr="00BC5F97" w:rsidRDefault="00FE7EBF" w:rsidP="00FE7EBF">
      <w:pPr>
        <w:jc w:val="both"/>
        <w:rPr>
          <w:rFonts w:asciiTheme="minorHAnsi" w:eastAsia="Times New Roman" w:hAnsiTheme="minorHAnsi"/>
          <w:b/>
          <w:bCs/>
          <w:color w:val="000000"/>
          <w:sz w:val="24"/>
          <w:szCs w:val="24"/>
          <w:lang w:eastAsia="fr-FR"/>
        </w:rPr>
      </w:pPr>
      <w:r w:rsidRPr="00BC5F97">
        <w:rPr>
          <w:rFonts w:asciiTheme="minorHAnsi" w:hAnsiTheme="minorHAnsi"/>
          <w:sz w:val="24"/>
          <w:szCs w:val="24"/>
        </w:rPr>
        <w:t xml:space="preserve">-que 2016 soit une année de préparation et d'accompagnement des parties déclarantes pour les amener à s'approprier effectivement le processus et les stimuler, chacune, à investir dans la création d'une base de données en s'assurant qu'elle intègre bien les informations pertinentes pour les rapports ITIE. Et qu'à cette occasion, il soit désigné les Points focaux ITIE dans les différentes Structures concernées qui pourront veiller à la continuité des services en ce qui concerne les données ITIE. Même si les recettes déclarées sont passées de </w:t>
      </w:r>
      <w:r w:rsidRPr="00BC5F97">
        <w:rPr>
          <w:rFonts w:asciiTheme="minorHAnsi" w:eastAsia="Times New Roman" w:hAnsiTheme="minorHAnsi"/>
          <w:b/>
          <w:bCs/>
          <w:color w:val="000000"/>
          <w:sz w:val="24"/>
          <w:szCs w:val="24"/>
          <w:lang w:eastAsia="fr-FR"/>
        </w:rPr>
        <w:t xml:space="preserve">8 349 438 </w:t>
      </w:r>
      <w:r w:rsidRPr="00BC5F97">
        <w:rPr>
          <w:rFonts w:asciiTheme="minorHAnsi" w:hAnsiTheme="minorHAnsi"/>
          <w:b/>
          <w:sz w:val="24"/>
          <w:szCs w:val="24"/>
        </w:rPr>
        <w:t>USD</w:t>
      </w:r>
      <w:r w:rsidRPr="00BC5F97">
        <w:rPr>
          <w:rFonts w:asciiTheme="minorHAnsi" w:hAnsiTheme="minorHAnsi"/>
          <w:sz w:val="24"/>
          <w:szCs w:val="24"/>
        </w:rPr>
        <w:t xml:space="preserve"> lors de l'étude de cadrage à </w:t>
      </w:r>
      <w:r w:rsidRPr="00BC5F97">
        <w:rPr>
          <w:rFonts w:asciiTheme="minorHAnsi" w:eastAsia="Times New Roman" w:hAnsiTheme="minorHAnsi"/>
          <w:b/>
          <w:bCs/>
          <w:color w:val="000000"/>
          <w:sz w:val="24"/>
          <w:szCs w:val="24"/>
          <w:lang w:eastAsia="fr-FR"/>
        </w:rPr>
        <w:t>10 388 146,23</w:t>
      </w:r>
      <w:r w:rsidRPr="00BC5F97">
        <w:rPr>
          <w:rFonts w:asciiTheme="minorHAnsi" w:hAnsiTheme="minorHAnsi"/>
          <w:b/>
          <w:color w:val="0D0D0D" w:themeColor="text1" w:themeTint="F2"/>
          <w:sz w:val="24"/>
          <w:szCs w:val="24"/>
        </w:rPr>
        <w:t>USD</w:t>
      </w:r>
      <w:r w:rsidRPr="00BC5F97">
        <w:rPr>
          <w:rFonts w:asciiTheme="minorHAnsi" w:hAnsiTheme="minorHAnsi"/>
          <w:color w:val="0D0D0D" w:themeColor="text1" w:themeTint="F2"/>
          <w:sz w:val="24"/>
          <w:szCs w:val="24"/>
        </w:rPr>
        <w:t xml:space="preserve"> lors de nos missions pour le secteur forestier, l'exhaustivité n'en est pour autant pas garantie et assurée;</w:t>
      </w:r>
    </w:p>
    <w:p w:rsidR="00FE7EBF" w:rsidRPr="00BC5F97" w:rsidRDefault="00FE7EBF" w:rsidP="00FE7EBF">
      <w:pPr>
        <w:jc w:val="both"/>
        <w:rPr>
          <w:rFonts w:asciiTheme="minorHAnsi" w:hAnsiTheme="minorHAnsi"/>
          <w:sz w:val="24"/>
          <w:szCs w:val="24"/>
        </w:rPr>
      </w:pPr>
      <w:r w:rsidRPr="00BC5F97">
        <w:rPr>
          <w:rFonts w:asciiTheme="minorHAnsi" w:hAnsiTheme="minorHAnsi"/>
          <w:sz w:val="24"/>
          <w:szCs w:val="24"/>
        </w:rPr>
        <w:t>-que le rapport pilote de conciliation proprement-dit soit de ce fait produit en 2017, et que ce rapport puisse porter, nous le souhaitons, sur les données les plus récentes possibles, soit de 2016 (les données plus anciennes pouvant, dans les conditions décrites ci-haut, poser un problème sérieux d'exhaustivité);</w:t>
      </w:r>
    </w:p>
    <w:p w:rsidR="00FE7EBF" w:rsidRPr="00BC5F97" w:rsidRDefault="00FE7EBF" w:rsidP="00FE7EBF">
      <w:pPr>
        <w:spacing w:after="0"/>
        <w:jc w:val="both"/>
        <w:rPr>
          <w:rFonts w:asciiTheme="minorHAnsi" w:hAnsiTheme="minorHAnsi"/>
          <w:sz w:val="24"/>
          <w:szCs w:val="24"/>
        </w:rPr>
      </w:pPr>
      <w:r w:rsidRPr="00BC5F97">
        <w:rPr>
          <w:rFonts w:asciiTheme="minorHAnsi" w:hAnsiTheme="minorHAnsi"/>
          <w:sz w:val="24"/>
          <w:szCs w:val="24"/>
        </w:rPr>
        <w:t>-que le Gouvernement engage des efforts réels pour encourager une formalisation accrue de l'exploitation minière artisanale et forestière afin d'orienter les paiements vers  le circuit officiel pour être ainsi captés dans les rapports ITIE, car nous devons non seulement maîtriser les recettes de l'Etat perçues et les publier, mais aussi, militer pour leur accroissement proportionnel à l'activité qui les génère. C'est aussi ça être Citoyen.</w:t>
      </w:r>
    </w:p>
    <w:p w:rsidR="00FE7EBF" w:rsidRPr="00BC5F97" w:rsidRDefault="00FE7EBF" w:rsidP="00FE7EBF">
      <w:pPr>
        <w:jc w:val="both"/>
        <w:rPr>
          <w:rFonts w:asciiTheme="minorHAnsi" w:hAnsiTheme="minorHAnsi"/>
          <w:sz w:val="24"/>
          <w:szCs w:val="24"/>
        </w:rPr>
      </w:pPr>
    </w:p>
    <w:p w:rsidR="00E448B5" w:rsidRDefault="00E448B5" w:rsidP="001C2230">
      <w:pPr>
        <w:rPr>
          <w:noProof/>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075830" w:rsidRDefault="00075830" w:rsidP="00075830">
      <w:pPr>
        <w:rPr>
          <w:lang w:val="fr-FR"/>
        </w:rPr>
      </w:pPr>
    </w:p>
    <w:p w:rsidR="001C2230" w:rsidRDefault="001C2230" w:rsidP="00075830">
      <w:pPr>
        <w:rPr>
          <w:lang w:val="fr-FR"/>
        </w:rPr>
      </w:pPr>
    </w:p>
    <w:p w:rsidR="001C2230" w:rsidRDefault="001C2230" w:rsidP="00075830">
      <w:pPr>
        <w:rPr>
          <w:lang w:val="fr-FR"/>
        </w:rPr>
      </w:pPr>
    </w:p>
    <w:p w:rsidR="001C2230" w:rsidRDefault="001C2230" w:rsidP="00075830">
      <w:pPr>
        <w:rPr>
          <w:lang w:val="fr-FR"/>
        </w:rPr>
      </w:pPr>
    </w:p>
    <w:p w:rsidR="001C2230" w:rsidRDefault="001C2230" w:rsidP="00075830">
      <w:pPr>
        <w:rPr>
          <w:lang w:val="fr-FR"/>
        </w:rPr>
      </w:pPr>
    </w:p>
    <w:p w:rsidR="00075830" w:rsidRDefault="00075830" w:rsidP="00075830">
      <w:pPr>
        <w:rPr>
          <w:lang w:val="fr-FR"/>
        </w:rPr>
      </w:pPr>
    </w:p>
    <w:p w:rsidR="001C2230" w:rsidRDefault="001C2230" w:rsidP="001C2230">
      <w:pPr>
        <w:spacing w:after="0"/>
        <w:rPr>
          <w:lang w:val="fr-FR"/>
        </w:rPr>
      </w:pPr>
    </w:p>
    <w:p w:rsidR="00E448B5" w:rsidRPr="000371B6" w:rsidRDefault="002C2070" w:rsidP="001C2230">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6</w:t>
      </w:r>
      <w:r w:rsidR="00E448B5">
        <w:rPr>
          <w:rFonts w:eastAsia="Times New Roman" w:cs="Calibri"/>
          <w:b/>
          <w:color w:val="FFFFFF"/>
          <w:szCs w:val="18"/>
          <w:lang w:eastAsia="fr-FR"/>
        </w:rPr>
        <w:t>8-4</w:t>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Pr>
          <w:rFonts w:eastAsia="Times New Roman" w:cs="Calibri"/>
          <w:b/>
          <w:color w:val="FFFFFF"/>
          <w:szCs w:val="18"/>
          <w:lang w:eastAsia="fr-FR"/>
        </w:rPr>
        <w:t>Kinshasa, le 23 mars  2016</w:t>
      </w:r>
    </w:p>
    <w:p w:rsidR="00E448B5" w:rsidRPr="001C2230" w:rsidRDefault="00E448B5" w:rsidP="001C2230">
      <w:pPr>
        <w:pStyle w:val="Titre1"/>
        <w:shd w:val="clear" w:color="auto" w:fill="0070C0"/>
        <w:spacing w:before="0"/>
        <w:ind w:left="-1418" w:right="-1418"/>
        <w:jc w:val="center"/>
        <w:rPr>
          <w:rFonts w:ascii="Calibri" w:hAnsi="Calibri"/>
          <w:color w:val="auto"/>
        </w:rPr>
      </w:pPr>
      <w:bookmarkStart w:id="6" w:name="_Toc488866106"/>
      <w:r w:rsidRPr="001C2230">
        <w:rPr>
          <w:rFonts w:ascii="Calibri" w:hAnsi="Calibri"/>
          <w:color w:val="auto"/>
        </w:rPr>
        <w:t>TE</w:t>
      </w:r>
      <w:r w:rsidR="007A49E3" w:rsidRPr="001C2230">
        <w:rPr>
          <w:rFonts w:ascii="Calibri" w:hAnsi="Calibri"/>
          <w:color w:val="auto"/>
        </w:rPr>
        <w:t>RMES DE REFERENCE DE LA MISE EN JOUR DU CADRAGE ITIE-RDC 2015</w:t>
      </w:r>
      <w:bookmarkEnd w:id="6"/>
    </w:p>
    <w:p w:rsidR="00E448B5" w:rsidRPr="007A49E3" w:rsidRDefault="00E448B5" w:rsidP="001C2230">
      <w:pPr>
        <w:shd w:val="clear" w:color="auto" w:fill="0070C0"/>
        <w:ind w:left="-1418" w:right="-1417"/>
        <w:jc w:val="center"/>
        <w:rPr>
          <w:b/>
        </w:rPr>
      </w:pPr>
      <w:r w:rsidRPr="00A339FC">
        <w:rPr>
          <w:b/>
        </w:rPr>
        <w:t>Par le Secrétariat Technique</w:t>
      </w:r>
    </w:p>
    <w:p w:rsidR="00E448B5" w:rsidRDefault="00E448B5" w:rsidP="00E448B5">
      <w:pPr>
        <w:pStyle w:val="Paragraphedeliste"/>
        <w:spacing w:after="0" w:line="240" w:lineRule="auto"/>
        <w:ind w:left="426"/>
        <w:jc w:val="both"/>
        <w:rPr>
          <w:rFonts w:cstheme="minorHAnsi"/>
          <w:b/>
        </w:rPr>
      </w:pPr>
    </w:p>
    <w:p w:rsidR="007A49E3" w:rsidRPr="00DD2827" w:rsidRDefault="007A49E3" w:rsidP="007A49E3">
      <w:pPr>
        <w:spacing w:after="0" w:line="240" w:lineRule="auto"/>
        <w:rPr>
          <w:rFonts w:asciiTheme="minorHAnsi" w:eastAsia="Times New Roman" w:hAnsiTheme="minorHAnsi"/>
          <w:sz w:val="24"/>
          <w:szCs w:val="24"/>
          <w:highlight w:val="yellow"/>
          <w:lang w:eastAsia="fr-FR"/>
        </w:rPr>
      </w:pPr>
    </w:p>
    <w:p w:rsidR="007A49E3" w:rsidRPr="00DD2827" w:rsidRDefault="007A49E3" w:rsidP="00C7360A">
      <w:pPr>
        <w:pStyle w:val="Paragraphedeliste"/>
        <w:numPr>
          <w:ilvl w:val="0"/>
          <w:numId w:val="2"/>
        </w:numPr>
        <w:spacing w:after="0" w:line="240" w:lineRule="auto"/>
        <w:ind w:left="284" w:hanging="284"/>
        <w:jc w:val="both"/>
        <w:rPr>
          <w:rFonts w:asciiTheme="minorHAnsi" w:hAnsiTheme="minorHAnsi" w:cs="Tahoma"/>
          <w:b/>
          <w:sz w:val="24"/>
          <w:szCs w:val="24"/>
        </w:rPr>
      </w:pPr>
      <w:r w:rsidRPr="00DD2827">
        <w:rPr>
          <w:rFonts w:asciiTheme="minorHAnsi" w:hAnsiTheme="minorHAnsi" w:cs="Tahoma"/>
          <w:b/>
          <w:sz w:val="24"/>
          <w:szCs w:val="24"/>
        </w:rPr>
        <w:t>Contexte</w:t>
      </w:r>
    </w:p>
    <w:p w:rsidR="007A49E3" w:rsidRPr="00DD2827" w:rsidRDefault="007A49E3" w:rsidP="007A49E3">
      <w:pPr>
        <w:pStyle w:val="Paragraphedeliste"/>
        <w:ind w:left="284"/>
        <w:jc w:val="both"/>
        <w:rPr>
          <w:rFonts w:asciiTheme="minorHAnsi" w:hAnsiTheme="minorHAnsi" w:cs="Tahoma"/>
          <w:b/>
          <w:sz w:val="24"/>
          <w:szCs w:val="24"/>
        </w:rPr>
      </w:pPr>
    </w:p>
    <w:p w:rsidR="007A49E3" w:rsidRPr="00DD2827" w:rsidRDefault="007A49E3" w:rsidP="007A49E3">
      <w:pPr>
        <w:pStyle w:val="CM14"/>
        <w:spacing w:line="240" w:lineRule="atLeast"/>
        <w:jc w:val="both"/>
        <w:rPr>
          <w:rFonts w:asciiTheme="minorHAnsi" w:hAnsiTheme="minorHAnsi" w:cs="DLETC S+ Myriad Pro"/>
          <w:color w:val="000000"/>
        </w:rPr>
      </w:pPr>
      <w:r w:rsidRPr="00DD2827">
        <w:rPr>
          <w:rFonts w:asciiTheme="minorHAnsi" w:hAnsiTheme="minorHAnsi" w:cs="DLETC S+ Myriad Pro"/>
          <w:color w:val="000000"/>
        </w:rPr>
        <w:t xml:space="preserve">L’Initiative pour la Transparence des Industries Extractives (ITIE) est une norme mondiale qui fait la promotion de la transparence des revenus et de l’obligation de redevabilité dans les secteurs pétrolier, gazier et minier. </w:t>
      </w:r>
    </w:p>
    <w:p w:rsidR="007A49E3" w:rsidRPr="00DD2827" w:rsidRDefault="007A49E3" w:rsidP="007A49E3">
      <w:pPr>
        <w:pStyle w:val="CM14"/>
        <w:spacing w:line="240" w:lineRule="atLeast"/>
        <w:jc w:val="both"/>
        <w:rPr>
          <w:rFonts w:asciiTheme="minorHAnsi" w:hAnsiTheme="minorHAnsi" w:cs="DLETC S+ Myriad Pro"/>
          <w:color w:val="000000"/>
        </w:rPr>
      </w:pPr>
      <w:r w:rsidRPr="00DD2827">
        <w:rPr>
          <w:rFonts w:asciiTheme="minorHAnsi" w:hAnsiTheme="minorHAnsi" w:cs="DLETC S+ Myriad Pro"/>
          <w:color w:val="000000"/>
        </w:rPr>
        <w:t xml:space="preserve">Le Conseil d'Administration de l'ITIE Internationale a adopté et publié une nouvelle Norme lors de la Conférence mondiale qui s'est tenue à Lima au Pérou au mois de février 2016. Le caractère obligatoire de l'application intégrale de ladite norme est devenu effectif après son adoption en février 2016. </w:t>
      </w:r>
    </w:p>
    <w:p w:rsidR="007A49E3" w:rsidRPr="00DD2827" w:rsidRDefault="007A49E3" w:rsidP="007A49E3">
      <w:pPr>
        <w:pStyle w:val="Default"/>
        <w:jc w:val="both"/>
        <w:rPr>
          <w:rFonts w:asciiTheme="minorHAnsi" w:hAnsiTheme="minorHAnsi" w:cs="DLETC S+ Myriad Pro"/>
        </w:rPr>
      </w:pPr>
      <w:r w:rsidRPr="00DD2827">
        <w:rPr>
          <w:rFonts w:asciiTheme="minorHAnsi" w:hAnsiTheme="minorHAnsi" w:cs="DLETC S+ Myriad Pro"/>
        </w:rPr>
        <w:t xml:space="preserve">La mise en œuvre de l’ITIE repose sur le principe que les entreprises pétrolières, gazières et minières divulguent les paiements qu’elles versent au gouvernement et le gouvernement divulgue les sommes qu’il perçoit de ces entreprises. Ces chiffres sont rapprochés par un conciliateur indépendant et publiés dans des rapports ITIE annuels aux côtés d’autres informations contextuelles sur le secteur extractif. La production de ces rapports est </w:t>
      </w:r>
      <w:r w:rsidR="001D6149" w:rsidRPr="00DD2827">
        <w:rPr>
          <w:rFonts w:asciiTheme="minorHAnsi" w:hAnsiTheme="minorHAnsi" w:cs="DLETC S+ Myriad Pro"/>
        </w:rPr>
        <w:t>précédée</w:t>
      </w:r>
      <w:r w:rsidRPr="00DD2827">
        <w:rPr>
          <w:rFonts w:asciiTheme="minorHAnsi" w:hAnsiTheme="minorHAnsi" w:cs="DLETC S+ Myriad Pro"/>
        </w:rPr>
        <w:t xml:space="preserve"> par une étude de cadrage qui délimite le périmètre des entreprises et des entités de l'Etat ainsi que le cadre référentiel des flux financiers.</w:t>
      </w:r>
    </w:p>
    <w:p w:rsidR="007A49E3" w:rsidRPr="00DD2827" w:rsidRDefault="007A49E3" w:rsidP="00C7360A">
      <w:pPr>
        <w:pStyle w:val="Default"/>
        <w:numPr>
          <w:ilvl w:val="0"/>
          <w:numId w:val="3"/>
        </w:numPr>
        <w:jc w:val="both"/>
        <w:rPr>
          <w:rFonts w:asciiTheme="minorHAnsi" w:hAnsiTheme="minorHAnsi" w:cs="DLETC S+ Myriad Pro"/>
        </w:rPr>
      </w:pPr>
    </w:p>
    <w:p w:rsidR="007A49E3" w:rsidRPr="00DD2827" w:rsidRDefault="007A49E3" w:rsidP="00C7360A">
      <w:pPr>
        <w:pStyle w:val="Paragraphedeliste"/>
        <w:numPr>
          <w:ilvl w:val="0"/>
          <w:numId w:val="3"/>
        </w:numPr>
        <w:tabs>
          <w:tab w:val="left" w:pos="0"/>
        </w:tabs>
        <w:autoSpaceDE w:val="0"/>
        <w:autoSpaceDN w:val="0"/>
        <w:adjustRightInd w:val="0"/>
        <w:spacing w:after="0" w:line="240" w:lineRule="auto"/>
        <w:ind w:left="0"/>
        <w:rPr>
          <w:rFonts w:asciiTheme="minorHAnsi" w:hAnsiTheme="minorHAnsi" w:cs="Lucida Sans"/>
          <w:color w:val="000000"/>
          <w:sz w:val="24"/>
          <w:szCs w:val="24"/>
          <w:lang w:eastAsia="fr-BE"/>
        </w:rPr>
      </w:pPr>
      <w:r w:rsidRPr="00DD2827">
        <w:rPr>
          <w:rFonts w:asciiTheme="minorHAnsi" w:hAnsiTheme="minorHAnsi" w:cs="Lucida Sans"/>
          <w:color w:val="000000"/>
          <w:sz w:val="24"/>
          <w:szCs w:val="24"/>
          <w:lang w:eastAsia="fr-BE"/>
        </w:rPr>
        <w:t>Etant donné que le cadrage qui a conduit à la production du rapport ITIE-RDC 2014, le dernier en date, était de qualité satisfaisante, le Comité Exécutif a souhaité l'actualiser pour le rapport 2015 au lieu de procéder par une nouvelle étude. Le cadrage ainsi mis à jour devra être soumis au Conciliateur pour dégager un consensus.</w:t>
      </w:r>
    </w:p>
    <w:p w:rsidR="007A49E3" w:rsidRPr="00DD2827" w:rsidRDefault="007A49E3" w:rsidP="00C7360A">
      <w:pPr>
        <w:pStyle w:val="Paragraphedeliste"/>
        <w:numPr>
          <w:ilvl w:val="0"/>
          <w:numId w:val="3"/>
        </w:numPr>
        <w:tabs>
          <w:tab w:val="left" w:pos="0"/>
        </w:tabs>
        <w:autoSpaceDE w:val="0"/>
        <w:autoSpaceDN w:val="0"/>
        <w:adjustRightInd w:val="0"/>
        <w:spacing w:after="0" w:line="240" w:lineRule="auto"/>
        <w:ind w:left="0"/>
        <w:rPr>
          <w:rFonts w:asciiTheme="minorHAnsi" w:hAnsiTheme="minorHAnsi" w:cs="Lucida Sans"/>
          <w:color w:val="000000"/>
          <w:sz w:val="24"/>
          <w:szCs w:val="24"/>
          <w:lang w:eastAsia="fr-BE"/>
        </w:rPr>
      </w:pPr>
    </w:p>
    <w:p w:rsidR="007A49E3" w:rsidRPr="00DD2827" w:rsidRDefault="007A49E3" w:rsidP="00C7360A">
      <w:pPr>
        <w:pStyle w:val="Paragraphedeliste"/>
        <w:numPr>
          <w:ilvl w:val="0"/>
          <w:numId w:val="3"/>
        </w:numPr>
        <w:tabs>
          <w:tab w:val="left" w:pos="0"/>
        </w:tabs>
        <w:autoSpaceDE w:val="0"/>
        <w:autoSpaceDN w:val="0"/>
        <w:adjustRightInd w:val="0"/>
        <w:spacing w:after="0" w:line="240" w:lineRule="auto"/>
        <w:ind w:left="0"/>
        <w:jc w:val="both"/>
        <w:rPr>
          <w:rFonts w:asciiTheme="minorHAnsi" w:hAnsiTheme="minorHAnsi" w:cs="Lucida Sans"/>
          <w:color w:val="000000"/>
          <w:sz w:val="24"/>
          <w:szCs w:val="24"/>
          <w:lang w:eastAsia="fr-BE"/>
        </w:rPr>
      </w:pPr>
      <w:r w:rsidRPr="00DD2827">
        <w:rPr>
          <w:rFonts w:asciiTheme="minorHAnsi" w:hAnsiTheme="minorHAnsi" w:cs="Lucida Sans"/>
          <w:color w:val="000000"/>
          <w:sz w:val="24"/>
          <w:szCs w:val="24"/>
          <w:lang w:eastAsia="fr-BE"/>
        </w:rPr>
        <w:t>C'est donc à ce titre que les présents termes de référence sont élaborés pour fixer le mandat de mise à jour, la mission et le calendrier de leur exécution.</w:t>
      </w:r>
    </w:p>
    <w:p w:rsidR="007A49E3" w:rsidRPr="00DD2827" w:rsidRDefault="007A49E3" w:rsidP="007A49E3">
      <w:pPr>
        <w:pStyle w:val="Paragraphedeliste"/>
        <w:ind w:left="284"/>
        <w:jc w:val="both"/>
        <w:rPr>
          <w:rFonts w:asciiTheme="minorHAnsi" w:hAnsiTheme="minorHAnsi" w:cs="Tahoma"/>
          <w:b/>
          <w:sz w:val="24"/>
          <w:szCs w:val="24"/>
        </w:rPr>
      </w:pPr>
    </w:p>
    <w:p w:rsidR="007A49E3" w:rsidRPr="00DD2827" w:rsidRDefault="007A49E3" w:rsidP="00C7360A">
      <w:pPr>
        <w:pStyle w:val="Paragraphedeliste"/>
        <w:numPr>
          <w:ilvl w:val="0"/>
          <w:numId w:val="2"/>
        </w:numPr>
        <w:spacing w:after="0" w:line="240" w:lineRule="auto"/>
        <w:ind w:left="284" w:hanging="284"/>
        <w:jc w:val="both"/>
        <w:rPr>
          <w:rFonts w:asciiTheme="minorHAnsi" w:hAnsiTheme="minorHAnsi" w:cs="Tahoma"/>
          <w:b/>
          <w:sz w:val="24"/>
          <w:szCs w:val="24"/>
        </w:rPr>
      </w:pPr>
      <w:r w:rsidRPr="00DD2827">
        <w:rPr>
          <w:rFonts w:asciiTheme="minorHAnsi" w:hAnsiTheme="minorHAnsi" w:cs="Tahoma"/>
          <w:b/>
          <w:sz w:val="24"/>
          <w:szCs w:val="24"/>
        </w:rPr>
        <w:t>Mandat de mise à jour du cadrage ITIE-RDC 2015.</w:t>
      </w:r>
    </w:p>
    <w:p w:rsidR="007A49E3" w:rsidRPr="00DD2827" w:rsidRDefault="007A49E3" w:rsidP="007A49E3">
      <w:pPr>
        <w:pStyle w:val="Paragraphedeliste"/>
        <w:ind w:left="284"/>
        <w:jc w:val="both"/>
        <w:rPr>
          <w:rFonts w:asciiTheme="minorHAnsi" w:hAnsiTheme="minorHAnsi" w:cs="Tahoma"/>
          <w:b/>
          <w:sz w:val="24"/>
          <w:szCs w:val="24"/>
        </w:rPr>
      </w:pPr>
    </w:p>
    <w:p w:rsidR="007A49E3" w:rsidRPr="00DD2827" w:rsidRDefault="007A49E3" w:rsidP="007A4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ahoma"/>
          <w:sz w:val="24"/>
          <w:szCs w:val="24"/>
        </w:rPr>
      </w:pPr>
      <w:r w:rsidRPr="00DD2827">
        <w:rPr>
          <w:rFonts w:asciiTheme="minorHAnsi" w:hAnsiTheme="minorHAnsi" w:cs="Tahoma"/>
          <w:sz w:val="24"/>
          <w:szCs w:val="24"/>
        </w:rPr>
        <w:lastRenderedPageBreak/>
        <w:t>Le Comité Exécutif charge le Secrétariat Technique appuyé par une équipe d'experts provenant des Agences Financières de l’Etat (AFE), du CAMI, de la CTCPM et du SG des Hydrocarbures d'actualiser  le cadrage 2015 sur base du cadrage 2014, de différentes observations des parties prenantes et des recommandations de l'Administrateur Indépendant du Rapport 2014.</w:t>
      </w:r>
    </w:p>
    <w:p w:rsidR="007A49E3" w:rsidRPr="00DD2827" w:rsidRDefault="007A49E3" w:rsidP="007A4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ahoma"/>
          <w:sz w:val="24"/>
          <w:szCs w:val="24"/>
        </w:rPr>
      </w:pPr>
    </w:p>
    <w:p w:rsidR="007A49E3" w:rsidRPr="00DD2827" w:rsidRDefault="007A49E3" w:rsidP="00C7360A">
      <w:pPr>
        <w:pStyle w:val="Paragraphedeliste"/>
        <w:numPr>
          <w:ilvl w:val="0"/>
          <w:numId w:val="2"/>
        </w:numPr>
        <w:spacing w:after="0" w:line="240" w:lineRule="auto"/>
        <w:ind w:left="284" w:hanging="284"/>
        <w:jc w:val="both"/>
        <w:rPr>
          <w:rFonts w:asciiTheme="minorHAnsi" w:hAnsiTheme="minorHAnsi" w:cs="Tahoma"/>
          <w:b/>
          <w:sz w:val="24"/>
          <w:szCs w:val="24"/>
        </w:rPr>
      </w:pPr>
      <w:r w:rsidRPr="00DD2827">
        <w:rPr>
          <w:rFonts w:asciiTheme="minorHAnsi" w:hAnsiTheme="minorHAnsi" w:cs="Tahoma"/>
          <w:b/>
          <w:sz w:val="24"/>
          <w:szCs w:val="24"/>
        </w:rPr>
        <w:t>Mission</w:t>
      </w:r>
    </w:p>
    <w:p w:rsidR="007A49E3" w:rsidRPr="00DD2827" w:rsidRDefault="007A49E3" w:rsidP="007A49E3">
      <w:pPr>
        <w:pStyle w:val="Paragraphedeliste"/>
        <w:ind w:left="284"/>
        <w:jc w:val="both"/>
        <w:rPr>
          <w:rFonts w:asciiTheme="minorHAnsi" w:hAnsiTheme="minorHAnsi" w:cs="Tahoma"/>
          <w:b/>
          <w:sz w:val="24"/>
          <w:szCs w:val="24"/>
        </w:rPr>
      </w:pPr>
    </w:p>
    <w:p w:rsidR="007A49E3" w:rsidRPr="00DD2827" w:rsidRDefault="007A49E3" w:rsidP="007A49E3">
      <w:pPr>
        <w:jc w:val="both"/>
        <w:rPr>
          <w:rFonts w:asciiTheme="minorHAnsi" w:hAnsiTheme="minorHAnsi" w:cs="Tahoma"/>
          <w:sz w:val="24"/>
          <w:szCs w:val="24"/>
        </w:rPr>
      </w:pPr>
      <w:r w:rsidRPr="00DD2827">
        <w:rPr>
          <w:rFonts w:asciiTheme="minorHAnsi" w:hAnsiTheme="minorHAnsi" w:cs="Tahoma"/>
          <w:sz w:val="24"/>
          <w:szCs w:val="24"/>
        </w:rPr>
        <w:t xml:space="preserve">Tout en respectant la Norme ITIE et en tenant compte des observations des parties prenantes relevées dans le Rapport ITIE-RDC 2014, le Secrétariat Technique aura pour mission de: </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Recenser auprès des AFE toutes les entreprises minières et des hydrocarbures ayant effectué des paiements à l'Etat et aux entreprises publiques en 2015, en indiquant le montant de chaque paiement par entreprise et par flux.</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 xml:space="preserve">Déterminer les types des revenus fiscaux et parafiscaux significatifs et spécifiques au secteur extractif encadrés au niveau national et infranational </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Cadrer le périmètre des entreprises du secteur des hydrocarbures et des mines de la période considérée, en motivant le maintien de ces entreprises dans le périmètre.</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Sur base d’une analyse des éléments réels recensés au titre de revenus fiscaux et parafiscaux, définir un seuil de matérialité simple et compréhensible des  paiements effectués par les entreprises à l’Etat puissance et à l’Etat associé en 2015.</w:t>
      </w:r>
    </w:p>
    <w:p w:rsidR="007A49E3" w:rsidRPr="00DD2827" w:rsidRDefault="007A49E3" w:rsidP="007A49E3">
      <w:pPr>
        <w:pStyle w:val="Paragraphedeliste"/>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Fixer le seuil d’un écart important.</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4"/>
        </w:numPr>
        <w:spacing w:after="0" w:line="240" w:lineRule="auto"/>
        <w:ind w:left="284"/>
        <w:jc w:val="both"/>
        <w:rPr>
          <w:rFonts w:asciiTheme="minorHAnsi" w:hAnsiTheme="minorHAnsi" w:cs="Tahoma"/>
          <w:sz w:val="24"/>
          <w:szCs w:val="24"/>
        </w:rPr>
      </w:pPr>
      <w:r w:rsidRPr="00DD2827">
        <w:rPr>
          <w:rFonts w:asciiTheme="minorHAnsi" w:hAnsiTheme="minorHAnsi" w:cs="Tahoma"/>
          <w:sz w:val="24"/>
          <w:szCs w:val="24"/>
        </w:rPr>
        <w:t>Produire des  répertoires de l’année 2015 avec repère (noms des entreprises, secteur d’exploitation avec produits, adresses des sièges, adresses électroniques, numéros de téléphone, noms des premiers responsables) :</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des entreprises publiques existantes actives ou inactives du secteur des hydrocarbures et des mines;</w:t>
      </w: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des entreprises privées existantes en production ou en exploration par secteur ;</w:t>
      </w: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des entreprises privées en joint-venture, ayant signé des contrats de partenariat ou ayant versé des paiements contractuels au cours de la période en spécifiant l’entreprise publique partenaire et les autres actionnaires de la JV ;</w:t>
      </w: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des entreprises privées jadis reprises dans les rapports ITIE précédents mais qui n’existent pas pendant  la période considérée ;</w:t>
      </w: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des flux financiers en indiquant la nomenclature, la définition, la source légale (code/règlement minier, édit provincial, convention/contrat/...), l’entité effectuant le paiement (titulaire minier, actionnaire, entreprise étatique), le service d'assiette, le service de recouvrement, le mode de transfert au trésor public (pour les paiements contractuels), les régies financières ou par l’entreprise publique perceptrices.</w:t>
      </w:r>
    </w:p>
    <w:p w:rsidR="007A49E3" w:rsidRPr="00DD2827" w:rsidRDefault="007A49E3" w:rsidP="00C7360A">
      <w:pPr>
        <w:pStyle w:val="Paragraphedeliste"/>
        <w:numPr>
          <w:ilvl w:val="0"/>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lastRenderedPageBreak/>
        <w:t xml:space="preserve">des informations contextuelles publiques au sujet des industries extractives. Ces informations devront inclure :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la désignation de la partie qui se chargera de la préparation des informations contextuelles destinées au rapport ITIE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la description résumée du cadre légal et du régime fiscal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 xml:space="preserve">la vue d’ensemble des industries extractives ;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 xml:space="preserve">la contribution des industries extractives à l’économie ;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les statistiques de production et d’exportation,</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 xml:space="preserve">la participation de l’État dans les industries extractives ;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l’attribution et la durabilité des revenus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 xml:space="preserve">les registres et les octrois de licences ; </w:t>
      </w:r>
    </w:p>
    <w:p w:rsidR="007A49E3" w:rsidRPr="00DD2827" w:rsidRDefault="007A49E3" w:rsidP="00C7360A">
      <w:pPr>
        <w:pStyle w:val="Paragraphedeliste"/>
        <w:numPr>
          <w:ilvl w:val="1"/>
          <w:numId w:val="25"/>
        </w:numPr>
        <w:spacing w:after="0" w:line="240" w:lineRule="auto"/>
        <w:jc w:val="both"/>
        <w:rPr>
          <w:rFonts w:asciiTheme="minorHAnsi" w:hAnsiTheme="minorHAnsi" w:cs="Tahoma"/>
          <w:sz w:val="24"/>
          <w:szCs w:val="24"/>
        </w:rPr>
      </w:pPr>
      <w:r w:rsidRPr="00DD2827">
        <w:rPr>
          <w:rFonts w:asciiTheme="minorHAnsi" w:hAnsiTheme="minorHAnsi" w:cs="Tahoma"/>
          <w:sz w:val="24"/>
          <w:szCs w:val="24"/>
        </w:rPr>
        <w:t xml:space="preserve">les dispositions applicables à la propriété réelle et aux contrats </w:t>
      </w:r>
    </w:p>
    <w:p w:rsidR="007A49E3" w:rsidRPr="00DD2827" w:rsidRDefault="007A49E3" w:rsidP="007A49E3">
      <w:pPr>
        <w:pStyle w:val="Paragraphedeliste"/>
        <w:ind w:left="1364"/>
        <w:jc w:val="both"/>
        <w:rPr>
          <w:rFonts w:asciiTheme="minorHAnsi" w:hAnsiTheme="minorHAnsi" w:cs="Tahoma"/>
          <w:sz w:val="24"/>
          <w:szCs w:val="24"/>
        </w:rPr>
      </w:pPr>
    </w:p>
    <w:p w:rsidR="007A49E3" w:rsidRPr="00DD2827" w:rsidRDefault="007A49E3" w:rsidP="007A49E3">
      <w:pPr>
        <w:pStyle w:val="Paragraphedeliste"/>
        <w:jc w:val="both"/>
        <w:rPr>
          <w:rFonts w:asciiTheme="minorHAnsi" w:hAnsiTheme="minorHAnsi" w:cs="Tahoma"/>
          <w:sz w:val="24"/>
          <w:szCs w:val="24"/>
        </w:rPr>
      </w:pPr>
      <w:r w:rsidRPr="00DD2827">
        <w:rPr>
          <w:rFonts w:asciiTheme="minorHAnsi" w:hAnsiTheme="minorHAnsi" w:cs="Tahoma"/>
          <w:sz w:val="24"/>
          <w:szCs w:val="24"/>
        </w:rPr>
        <w:t xml:space="preserve">Rédiger et présenter un rapport de fin de mission où devront être intégrés tous les amendements du Comité Exécutif et des Parties Prenantes ainsi que tous les répertoires indiqués. </w:t>
      </w:r>
    </w:p>
    <w:p w:rsidR="007A49E3" w:rsidRPr="00DD2827" w:rsidRDefault="007A49E3" w:rsidP="007A49E3">
      <w:pPr>
        <w:pStyle w:val="Paragraphedeliste"/>
        <w:jc w:val="both"/>
        <w:rPr>
          <w:rFonts w:asciiTheme="minorHAnsi" w:hAnsiTheme="minorHAnsi" w:cs="Tahoma"/>
          <w:sz w:val="24"/>
          <w:szCs w:val="24"/>
        </w:rPr>
      </w:pPr>
    </w:p>
    <w:p w:rsidR="007A49E3" w:rsidRPr="00DD2827" w:rsidRDefault="007A49E3" w:rsidP="00C7360A">
      <w:pPr>
        <w:pStyle w:val="Paragraphedeliste"/>
        <w:numPr>
          <w:ilvl w:val="0"/>
          <w:numId w:val="2"/>
        </w:numPr>
        <w:spacing w:after="0" w:line="240" w:lineRule="auto"/>
        <w:ind w:left="284" w:hanging="284"/>
        <w:jc w:val="both"/>
        <w:rPr>
          <w:rFonts w:asciiTheme="minorHAnsi" w:hAnsiTheme="minorHAnsi" w:cs="Tahoma"/>
          <w:b/>
          <w:sz w:val="24"/>
          <w:szCs w:val="24"/>
        </w:rPr>
      </w:pPr>
      <w:r w:rsidRPr="00DD2827">
        <w:rPr>
          <w:rFonts w:asciiTheme="minorHAnsi" w:hAnsiTheme="minorHAnsi" w:cs="Tahoma"/>
          <w:b/>
          <w:sz w:val="24"/>
          <w:szCs w:val="24"/>
        </w:rPr>
        <w:t>Activités ponctuelles de la mission</w:t>
      </w:r>
    </w:p>
    <w:p w:rsidR="007A49E3" w:rsidRPr="00DD2827" w:rsidRDefault="007A49E3" w:rsidP="007A49E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ahoma"/>
          <w:sz w:val="24"/>
          <w:szCs w:val="24"/>
        </w:rPr>
      </w:pP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Rédaction et transmission des lettres de recensement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Collecte dans toutes les Provinces des informations recensées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Traitement des informations collectées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Harmonisation avec les entités recensées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Rédaction du projet de rapport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Soumission du projet du rapport à la revue des parties prenantes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 xml:space="preserve">Revue du projet de rapport par les parties prenantes ;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Présentation du projet de rapport au CE ;</w:t>
      </w:r>
    </w:p>
    <w:p w:rsidR="007A49E3" w:rsidRPr="00DD2827" w:rsidRDefault="007A49E3" w:rsidP="00C7360A">
      <w:pPr>
        <w:numPr>
          <w:ilvl w:val="0"/>
          <w:numId w:val="4"/>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ahoma"/>
          <w:sz w:val="24"/>
          <w:szCs w:val="24"/>
        </w:rPr>
      </w:pPr>
      <w:r w:rsidRPr="00DD2827">
        <w:rPr>
          <w:rFonts w:asciiTheme="minorHAnsi" w:hAnsiTheme="minorHAnsi" w:cs="Tahoma"/>
          <w:sz w:val="24"/>
          <w:szCs w:val="24"/>
        </w:rPr>
        <w:t>Publication du cadrage actualisé adopté par le CE.</w:t>
      </w:r>
    </w:p>
    <w:p w:rsidR="007A49E3" w:rsidRPr="00DD2827" w:rsidRDefault="007A49E3" w:rsidP="007A49E3">
      <w:pPr>
        <w:pStyle w:val="Paragraphedeliste"/>
        <w:ind w:left="284"/>
        <w:jc w:val="both"/>
        <w:rPr>
          <w:rFonts w:asciiTheme="minorHAnsi" w:hAnsiTheme="minorHAnsi" w:cs="Tahoma"/>
          <w:sz w:val="24"/>
          <w:szCs w:val="24"/>
        </w:rPr>
      </w:pPr>
    </w:p>
    <w:p w:rsidR="007A49E3" w:rsidRPr="00DD2827" w:rsidRDefault="007A49E3" w:rsidP="00C7360A">
      <w:pPr>
        <w:pStyle w:val="Paragraphedeliste"/>
        <w:numPr>
          <w:ilvl w:val="0"/>
          <w:numId w:val="2"/>
        </w:numPr>
        <w:spacing w:after="0" w:line="240" w:lineRule="auto"/>
        <w:ind w:left="284" w:hanging="284"/>
        <w:jc w:val="both"/>
        <w:rPr>
          <w:rFonts w:asciiTheme="minorHAnsi" w:hAnsiTheme="minorHAnsi" w:cs="Tahoma"/>
          <w:b/>
          <w:sz w:val="24"/>
          <w:szCs w:val="24"/>
        </w:rPr>
      </w:pPr>
      <w:r w:rsidRPr="00DD2827">
        <w:rPr>
          <w:rFonts w:asciiTheme="minorHAnsi" w:hAnsiTheme="minorHAnsi" w:cs="Tahoma"/>
          <w:b/>
          <w:sz w:val="24"/>
          <w:szCs w:val="24"/>
        </w:rPr>
        <w:t>Durée de la mission et calendrier.</w:t>
      </w:r>
    </w:p>
    <w:p w:rsidR="007A49E3" w:rsidRPr="00DD2827" w:rsidRDefault="007A49E3" w:rsidP="007A49E3">
      <w:pPr>
        <w:pStyle w:val="Paragraphedeliste"/>
        <w:ind w:left="426"/>
        <w:jc w:val="both"/>
        <w:rPr>
          <w:rFonts w:asciiTheme="minorHAnsi" w:hAnsiTheme="minorHAnsi" w:cs="Tahoma"/>
          <w:sz w:val="24"/>
          <w:szCs w:val="24"/>
        </w:rPr>
      </w:pPr>
      <w:r w:rsidRPr="00DD2827">
        <w:rPr>
          <w:rFonts w:asciiTheme="minorHAnsi" w:hAnsiTheme="minorHAnsi" w:cs="Tahoma"/>
          <w:b/>
          <w:sz w:val="24"/>
          <w:szCs w:val="24"/>
          <w:highlight w:val="green"/>
        </w:rPr>
        <w:br/>
      </w:r>
      <w:r w:rsidRPr="00DD2827">
        <w:rPr>
          <w:rFonts w:asciiTheme="minorHAnsi" w:hAnsiTheme="minorHAnsi" w:cs="Tahoma"/>
          <w:sz w:val="24"/>
          <w:szCs w:val="24"/>
        </w:rPr>
        <w:t>La mission devra commencer le mercredi 28 mars 2016 et elle prendra 50 jours calendrier comprenant les jours de voyage et de travail et le rapport final devra être adopté par le CE le vendredi 18 mai 2016 :</w:t>
      </w:r>
    </w:p>
    <w:p w:rsidR="007A49E3" w:rsidRPr="00DD2827" w:rsidRDefault="007A49E3" w:rsidP="007A49E3">
      <w:pPr>
        <w:pStyle w:val="Paragraphedeliste"/>
        <w:ind w:left="426"/>
        <w:jc w:val="both"/>
        <w:rPr>
          <w:rFonts w:asciiTheme="minorHAnsi" w:hAnsiTheme="minorHAnsi" w:cs="Tahoma"/>
          <w:sz w:val="24"/>
          <w:szCs w:val="24"/>
        </w:rPr>
      </w:pPr>
    </w:p>
    <w:tbl>
      <w:tblPr>
        <w:tblStyle w:val="Grilledutableau"/>
        <w:tblW w:w="949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92"/>
        <w:gridCol w:w="236"/>
        <w:gridCol w:w="7169"/>
      </w:tblGrid>
      <w:tr w:rsidR="007A49E3" w:rsidRPr="00DD2827" w:rsidTr="00151366">
        <w:tc>
          <w:tcPr>
            <w:tcW w:w="2092" w:type="dxa"/>
          </w:tcPr>
          <w:p w:rsidR="007A49E3" w:rsidRPr="00DD2827" w:rsidRDefault="007A49E3" w:rsidP="00151366">
            <w:pPr>
              <w:pStyle w:val="Paragraphedeliste"/>
              <w:ind w:left="0"/>
              <w:rPr>
                <w:rFonts w:asciiTheme="minorHAnsi" w:hAnsiTheme="minorHAnsi" w:cs="DLETC S+ Myriad Pro"/>
                <w:b/>
                <w:sz w:val="24"/>
                <w:szCs w:val="24"/>
              </w:rPr>
            </w:pPr>
            <w:r w:rsidRPr="00DD2827">
              <w:rPr>
                <w:rFonts w:asciiTheme="minorHAnsi" w:hAnsiTheme="minorHAnsi" w:cs="DLETC S+ Myriad Pro"/>
                <w:b/>
                <w:sz w:val="24"/>
                <w:szCs w:val="24"/>
              </w:rPr>
              <w:t xml:space="preserve">Semaine 1 </w:t>
            </w:r>
          </w:p>
          <w:p w:rsidR="007A49E3" w:rsidRPr="00DD2827" w:rsidRDefault="007A49E3" w:rsidP="00151366">
            <w:pPr>
              <w:pStyle w:val="Paragraphedeliste"/>
              <w:ind w:left="0"/>
              <w:rPr>
                <w:rFonts w:asciiTheme="minorHAnsi" w:hAnsiTheme="minorHAnsi" w:cs="Tahoma"/>
                <w:b/>
                <w:sz w:val="24"/>
                <w:szCs w:val="24"/>
              </w:rPr>
            </w:pPr>
            <w:r w:rsidRPr="00DD2827">
              <w:rPr>
                <w:rFonts w:asciiTheme="minorHAnsi" w:hAnsiTheme="minorHAnsi" w:cs="DLETC S+ Myriad Pro"/>
                <w:sz w:val="24"/>
                <w:szCs w:val="24"/>
              </w:rPr>
              <w:t xml:space="preserve">28/03 - 03/04/16 </w:t>
            </w:r>
          </w:p>
        </w:tc>
        <w:tc>
          <w:tcPr>
            <w:tcW w:w="236" w:type="dxa"/>
          </w:tcPr>
          <w:p w:rsidR="007A49E3" w:rsidRPr="00DD2827" w:rsidRDefault="007A49E3" w:rsidP="00151366">
            <w:pPr>
              <w:pStyle w:val="Paragraphedeliste"/>
              <w:ind w:left="0"/>
              <w:jc w:val="both"/>
              <w:rPr>
                <w:rFonts w:asciiTheme="minorHAnsi" w:hAnsiTheme="minorHAnsi" w:cs="Tahoma"/>
                <w:sz w:val="24"/>
                <w:szCs w:val="24"/>
              </w:rPr>
            </w:pPr>
            <w:r w:rsidRPr="00DD2827">
              <w:rPr>
                <w:rFonts w:asciiTheme="minorHAnsi" w:hAnsiTheme="minorHAnsi" w:cs="Tahoma"/>
                <w:sz w:val="24"/>
                <w:szCs w:val="24"/>
              </w:rPr>
              <w:t>:</w:t>
            </w:r>
          </w:p>
        </w:tc>
        <w:tc>
          <w:tcPr>
            <w:tcW w:w="7169" w:type="dxa"/>
          </w:tcPr>
          <w:p w:rsidR="007A49E3" w:rsidRPr="00DD2827" w:rsidRDefault="007A49E3" w:rsidP="00151366">
            <w:pPr>
              <w:pStyle w:val="Paragraphedeliste"/>
              <w:ind w:left="0"/>
              <w:rPr>
                <w:rFonts w:asciiTheme="minorHAnsi" w:hAnsiTheme="minorHAnsi" w:cs="Tahoma"/>
                <w:sz w:val="24"/>
                <w:szCs w:val="24"/>
              </w:rPr>
            </w:pPr>
            <w:r w:rsidRPr="00DD2827">
              <w:rPr>
                <w:rFonts w:asciiTheme="minorHAnsi" w:hAnsiTheme="minorHAnsi" w:cs="Tahoma"/>
                <w:sz w:val="24"/>
                <w:szCs w:val="24"/>
              </w:rPr>
              <w:t>- Transmission des lettres de recensement </w:t>
            </w:r>
          </w:p>
          <w:p w:rsidR="007A49E3" w:rsidRPr="00DD2827" w:rsidRDefault="007A49E3" w:rsidP="00151366">
            <w:pPr>
              <w:pStyle w:val="Paragraphedeliste"/>
              <w:ind w:left="179" w:hanging="179"/>
              <w:rPr>
                <w:rFonts w:asciiTheme="minorHAnsi" w:hAnsiTheme="minorHAnsi" w:cs="Tahoma"/>
                <w:sz w:val="24"/>
                <w:szCs w:val="24"/>
              </w:rPr>
            </w:pPr>
            <w:r w:rsidRPr="00DD2827">
              <w:rPr>
                <w:rFonts w:asciiTheme="minorHAnsi" w:hAnsiTheme="minorHAnsi" w:cs="Tahoma"/>
                <w:sz w:val="24"/>
                <w:szCs w:val="24"/>
              </w:rPr>
              <w:t>- Visite de sensibilisation dans les AFE et les entreprises publiques sur toute l’étendue de la République;</w:t>
            </w:r>
          </w:p>
        </w:tc>
      </w:tr>
      <w:tr w:rsidR="007A49E3" w:rsidRPr="00DD2827" w:rsidTr="00151366">
        <w:tc>
          <w:tcPr>
            <w:tcW w:w="2092" w:type="dxa"/>
          </w:tcPr>
          <w:p w:rsidR="007A49E3" w:rsidRPr="00DD2827" w:rsidRDefault="007A49E3" w:rsidP="00151366">
            <w:pPr>
              <w:pStyle w:val="Paragraphedeliste"/>
              <w:ind w:left="0"/>
              <w:jc w:val="both"/>
              <w:rPr>
                <w:rFonts w:asciiTheme="minorHAnsi" w:hAnsiTheme="minorHAnsi" w:cs="DLETC S+ Myriad Pro"/>
                <w:b/>
                <w:sz w:val="24"/>
                <w:szCs w:val="24"/>
              </w:rPr>
            </w:pPr>
            <w:r w:rsidRPr="00DD2827">
              <w:rPr>
                <w:rFonts w:asciiTheme="minorHAnsi" w:hAnsiTheme="minorHAnsi" w:cs="DLETC S+ Myriad Pro"/>
                <w:b/>
                <w:sz w:val="24"/>
                <w:szCs w:val="24"/>
              </w:rPr>
              <w:t>Semaine 2</w:t>
            </w:r>
          </w:p>
          <w:p w:rsidR="007A49E3" w:rsidRPr="00DD2827" w:rsidRDefault="007A49E3" w:rsidP="00151366">
            <w:pPr>
              <w:pStyle w:val="Paragraphedeliste"/>
              <w:ind w:left="0"/>
              <w:jc w:val="both"/>
              <w:rPr>
                <w:rFonts w:asciiTheme="minorHAnsi" w:hAnsiTheme="minorHAnsi" w:cs="DLETC S+ Myriad Pro"/>
                <w:b/>
                <w:sz w:val="24"/>
                <w:szCs w:val="24"/>
              </w:rPr>
            </w:pPr>
            <w:r w:rsidRPr="00DD2827">
              <w:rPr>
                <w:rFonts w:asciiTheme="minorHAnsi" w:hAnsiTheme="minorHAnsi" w:cs="DLETC S+ Myriad Pro"/>
                <w:sz w:val="24"/>
                <w:szCs w:val="24"/>
              </w:rPr>
              <w:t xml:space="preserve">04/04 - 10/04/16 </w:t>
            </w:r>
          </w:p>
        </w:tc>
        <w:tc>
          <w:tcPr>
            <w:tcW w:w="236" w:type="dxa"/>
          </w:tcPr>
          <w:p w:rsidR="007A49E3" w:rsidRPr="00DD2827" w:rsidRDefault="007A49E3" w:rsidP="00151366">
            <w:pPr>
              <w:pStyle w:val="Paragraphedeliste"/>
              <w:ind w:left="0"/>
              <w:jc w:val="both"/>
              <w:rPr>
                <w:rFonts w:asciiTheme="minorHAnsi" w:hAnsiTheme="minorHAnsi" w:cs="Tahoma"/>
                <w:sz w:val="24"/>
                <w:szCs w:val="24"/>
              </w:rPr>
            </w:pPr>
            <w:r w:rsidRPr="00DD2827">
              <w:rPr>
                <w:rFonts w:asciiTheme="minorHAnsi" w:hAnsiTheme="minorHAnsi" w:cs="DLETC S+ Myriad Pro"/>
                <w:sz w:val="24"/>
                <w:szCs w:val="24"/>
              </w:rPr>
              <w:t>:</w:t>
            </w:r>
          </w:p>
        </w:tc>
        <w:tc>
          <w:tcPr>
            <w:tcW w:w="7169" w:type="dxa"/>
          </w:tcPr>
          <w:p w:rsidR="007A49E3" w:rsidRPr="00DD2827" w:rsidRDefault="007A49E3" w:rsidP="00151366">
            <w:pPr>
              <w:pStyle w:val="Paragraphedeliste"/>
              <w:ind w:left="179" w:hanging="179"/>
              <w:rPr>
                <w:rFonts w:asciiTheme="minorHAnsi" w:hAnsiTheme="minorHAnsi" w:cs="Tahoma"/>
                <w:sz w:val="24"/>
                <w:szCs w:val="24"/>
              </w:rPr>
            </w:pPr>
            <w:r w:rsidRPr="00DD2827">
              <w:rPr>
                <w:rFonts w:asciiTheme="minorHAnsi" w:hAnsiTheme="minorHAnsi" w:cs="Tahoma"/>
                <w:sz w:val="24"/>
                <w:szCs w:val="24"/>
              </w:rPr>
              <w:t>- Collecte dans toutes les Provinces des informations recensées </w:t>
            </w:r>
          </w:p>
          <w:p w:rsidR="007A49E3" w:rsidRPr="00DD2827" w:rsidRDefault="007A49E3" w:rsidP="00151366">
            <w:pPr>
              <w:pStyle w:val="Paragraphedeliste"/>
              <w:ind w:left="179" w:hanging="179"/>
              <w:rPr>
                <w:rFonts w:asciiTheme="minorHAnsi" w:hAnsiTheme="minorHAnsi" w:cs="Tahoma"/>
                <w:sz w:val="24"/>
                <w:szCs w:val="24"/>
              </w:rPr>
            </w:pPr>
            <w:r w:rsidRPr="00DD2827">
              <w:rPr>
                <w:rFonts w:asciiTheme="minorHAnsi" w:hAnsiTheme="minorHAnsi" w:cs="Tahoma"/>
                <w:sz w:val="24"/>
                <w:szCs w:val="24"/>
              </w:rPr>
              <w:t>- Traitement des informations collectées ;</w:t>
            </w:r>
          </w:p>
        </w:tc>
      </w:tr>
      <w:tr w:rsidR="007A49E3" w:rsidRPr="00DD2827" w:rsidTr="00151366">
        <w:tc>
          <w:tcPr>
            <w:tcW w:w="2092" w:type="dxa"/>
          </w:tcPr>
          <w:p w:rsidR="007A49E3" w:rsidRPr="00DD2827" w:rsidRDefault="007A49E3" w:rsidP="00151366">
            <w:pPr>
              <w:pStyle w:val="Paragraphedeliste"/>
              <w:ind w:left="0"/>
              <w:jc w:val="both"/>
              <w:rPr>
                <w:rFonts w:asciiTheme="minorHAnsi" w:hAnsiTheme="minorHAnsi" w:cs="DLETC S+ Myriad Pro"/>
                <w:b/>
                <w:sz w:val="24"/>
                <w:szCs w:val="24"/>
              </w:rPr>
            </w:pPr>
            <w:r w:rsidRPr="00DD2827">
              <w:rPr>
                <w:rFonts w:asciiTheme="minorHAnsi" w:hAnsiTheme="minorHAnsi" w:cs="DLETC S+ Myriad Pro"/>
                <w:b/>
                <w:sz w:val="24"/>
                <w:szCs w:val="24"/>
              </w:rPr>
              <w:t xml:space="preserve">Semaines 3 et 4 </w:t>
            </w:r>
          </w:p>
          <w:p w:rsidR="007A49E3" w:rsidRPr="00DD2827" w:rsidRDefault="007A49E3" w:rsidP="00151366">
            <w:pPr>
              <w:pStyle w:val="Paragraphedeliste"/>
              <w:ind w:left="0"/>
              <w:jc w:val="both"/>
              <w:rPr>
                <w:rFonts w:asciiTheme="minorHAnsi" w:hAnsiTheme="minorHAnsi" w:cs="DLETC S+ Myriad Pro"/>
                <w:b/>
                <w:sz w:val="24"/>
                <w:szCs w:val="24"/>
              </w:rPr>
            </w:pPr>
            <w:r w:rsidRPr="00DD2827">
              <w:rPr>
                <w:rFonts w:asciiTheme="minorHAnsi" w:hAnsiTheme="minorHAnsi" w:cs="DLETC S+ Myriad Pro"/>
                <w:sz w:val="24"/>
                <w:szCs w:val="24"/>
              </w:rPr>
              <w:t>11/04 -18/04/16</w:t>
            </w:r>
          </w:p>
        </w:tc>
        <w:tc>
          <w:tcPr>
            <w:tcW w:w="236" w:type="dxa"/>
          </w:tcPr>
          <w:p w:rsidR="007A49E3" w:rsidRPr="00DD2827" w:rsidRDefault="007A49E3" w:rsidP="00151366">
            <w:pPr>
              <w:pStyle w:val="Paragraphedeliste"/>
              <w:ind w:left="0"/>
              <w:jc w:val="both"/>
              <w:rPr>
                <w:rFonts w:asciiTheme="minorHAnsi" w:hAnsiTheme="minorHAnsi" w:cs="DLETC S+ Myriad Pro"/>
                <w:sz w:val="24"/>
                <w:szCs w:val="24"/>
              </w:rPr>
            </w:pPr>
            <w:r w:rsidRPr="00DD2827">
              <w:rPr>
                <w:rFonts w:asciiTheme="minorHAnsi" w:hAnsiTheme="minorHAnsi" w:cs="DLETC S+ Myriad Pro"/>
                <w:sz w:val="24"/>
                <w:szCs w:val="24"/>
              </w:rPr>
              <w:t>:</w:t>
            </w:r>
          </w:p>
        </w:tc>
        <w:tc>
          <w:tcPr>
            <w:tcW w:w="7169" w:type="dxa"/>
          </w:tcPr>
          <w:p w:rsidR="007A49E3" w:rsidRPr="00DD2827" w:rsidRDefault="007A49E3" w:rsidP="00151366">
            <w:pPr>
              <w:pStyle w:val="Paragraphedeliste"/>
              <w:ind w:left="165" w:hanging="165"/>
              <w:rPr>
                <w:rFonts w:asciiTheme="minorHAnsi" w:hAnsiTheme="minorHAnsi" w:cs="Tahoma"/>
                <w:sz w:val="24"/>
                <w:szCs w:val="24"/>
              </w:rPr>
            </w:pPr>
            <w:r w:rsidRPr="00DD2827">
              <w:rPr>
                <w:rFonts w:asciiTheme="minorHAnsi" w:hAnsiTheme="minorHAnsi" w:cs="Tahoma"/>
                <w:sz w:val="24"/>
                <w:szCs w:val="24"/>
              </w:rPr>
              <w:t xml:space="preserve">- Harmonisation des informations collectées avec les entités recensées, </w:t>
            </w:r>
          </w:p>
          <w:p w:rsidR="007A49E3" w:rsidRPr="00DD2827" w:rsidRDefault="007A49E3" w:rsidP="00151366">
            <w:pPr>
              <w:pStyle w:val="Paragraphedeliste"/>
              <w:ind w:left="0"/>
              <w:rPr>
                <w:rFonts w:asciiTheme="minorHAnsi" w:hAnsiTheme="minorHAnsi" w:cs="Tahoma"/>
                <w:sz w:val="24"/>
                <w:szCs w:val="24"/>
              </w:rPr>
            </w:pPr>
            <w:r w:rsidRPr="00DD2827">
              <w:rPr>
                <w:rFonts w:asciiTheme="minorHAnsi" w:hAnsiTheme="minorHAnsi" w:cs="Tahoma"/>
                <w:sz w:val="24"/>
                <w:szCs w:val="24"/>
              </w:rPr>
              <w:t>- Rédaction du projet de rapport,</w:t>
            </w:r>
          </w:p>
          <w:p w:rsidR="007A49E3" w:rsidRPr="00DD2827" w:rsidRDefault="007A49E3" w:rsidP="00151366">
            <w:pPr>
              <w:pStyle w:val="Paragraphedeliste"/>
              <w:ind w:left="179" w:hanging="179"/>
              <w:rPr>
                <w:rFonts w:asciiTheme="minorHAnsi" w:hAnsiTheme="minorHAnsi" w:cs="Tahoma"/>
                <w:sz w:val="24"/>
                <w:szCs w:val="24"/>
              </w:rPr>
            </w:pPr>
            <w:r w:rsidRPr="00DD2827">
              <w:rPr>
                <w:rFonts w:asciiTheme="minorHAnsi" w:hAnsiTheme="minorHAnsi" w:cs="Tahoma"/>
                <w:sz w:val="24"/>
                <w:szCs w:val="24"/>
              </w:rPr>
              <w:t>- Soumission du projet du rapport à la lecture par les Parties Prenantes pour revue et amélioration;</w:t>
            </w:r>
          </w:p>
        </w:tc>
      </w:tr>
      <w:tr w:rsidR="007A49E3" w:rsidRPr="00DD2827" w:rsidTr="00151366">
        <w:tc>
          <w:tcPr>
            <w:tcW w:w="2092" w:type="dxa"/>
          </w:tcPr>
          <w:p w:rsidR="007A49E3" w:rsidRPr="00DD2827" w:rsidRDefault="007A49E3" w:rsidP="00151366">
            <w:pPr>
              <w:pStyle w:val="Paragraphedeliste"/>
              <w:ind w:left="0"/>
              <w:jc w:val="both"/>
              <w:rPr>
                <w:rFonts w:asciiTheme="minorHAnsi" w:hAnsiTheme="minorHAnsi" w:cs="Tahoma"/>
                <w:b/>
                <w:sz w:val="24"/>
                <w:szCs w:val="24"/>
              </w:rPr>
            </w:pPr>
            <w:r w:rsidRPr="00DD2827">
              <w:rPr>
                <w:rFonts w:asciiTheme="minorHAnsi" w:hAnsiTheme="minorHAnsi" w:cs="Tahoma"/>
                <w:b/>
                <w:sz w:val="24"/>
                <w:szCs w:val="24"/>
              </w:rPr>
              <w:t>Semaine 6 </w:t>
            </w:r>
          </w:p>
          <w:p w:rsidR="007A49E3" w:rsidRPr="00DD2827" w:rsidRDefault="007A49E3" w:rsidP="00151366">
            <w:pPr>
              <w:pStyle w:val="Paragraphedeliste"/>
              <w:ind w:left="0"/>
              <w:jc w:val="both"/>
              <w:rPr>
                <w:rFonts w:asciiTheme="minorHAnsi" w:hAnsiTheme="minorHAnsi" w:cs="DLETC S+ Myriad Pro"/>
                <w:b/>
                <w:sz w:val="24"/>
                <w:szCs w:val="24"/>
              </w:rPr>
            </w:pPr>
            <w:r w:rsidRPr="00DD2827">
              <w:rPr>
                <w:rFonts w:asciiTheme="minorHAnsi" w:hAnsiTheme="minorHAnsi" w:cs="DLETC S+ Myriad Pro"/>
                <w:sz w:val="24"/>
                <w:szCs w:val="24"/>
              </w:rPr>
              <w:t>09/05 - 15/05/16</w:t>
            </w:r>
          </w:p>
        </w:tc>
        <w:tc>
          <w:tcPr>
            <w:tcW w:w="236" w:type="dxa"/>
          </w:tcPr>
          <w:p w:rsidR="007A49E3" w:rsidRPr="00DD2827" w:rsidRDefault="007A49E3" w:rsidP="00151366">
            <w:pPr>
              <w:pStyle w:val="Paragraphedeliste"/>
              <w:ind w:left="0"/>
              <w:jc w:val="both"/>
              <w:rPr>
                <w:rFonts w:asciiTheme="minorHAnsi" w:hAnsiTheme="minorHAnsi" w:cs="DLETC S+ Myriad Pro"/>
                <w:sz w:val="24"/>
                <w:szCs w:val="24"/>
              </w:rPr>
            </w:pPr>
            <w:r w:rsidRPr="00DD2827">
              <w:rPr>
                <w:rFonts w:asciiTheme="minorHAnsi" w:hAnsiTheme="minorHAnsi" w:cs="DLETC S+ Myriad Pro"/>
                <w:sz w:val="24"/>
                <w:szCs w:val="24"/>
              </w:rPr>
              <w:t>:</w:t>
            </w:r>
          </w:p>
        </w:tc>
        <w:tc>
          <w:tcPr>
            <w:tcW w:w="7169" w:type="dxa"/>
          </w:tcPr>
          <w:p w:rsidR="007A49E3" w:rsidRPr="00DD2827" w:rsidRDefault="007A49E3" w:rsidP="00151366">
            <w:pPr>
              <w:tabs>
                <w:tab w:val="left" w:pos="149"/>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7" w:hanging="177"/>
              <w:rPr>
                <w:rFonts w:asciiTheme="minorHAnsi" w:hAnsiTheme="minorHAnsi" w:cs="Tahoma"/>
                <w:sz w:val="24"/>
                <w:szCs w:val="24"/>
              </w:rPr>
            </w:pPr>
            <w:r w:rsidRPr="00DD2827">
              <w:rPr>
                <w:rFonts w:asciiTheme="minorHAnsi" w:hAnsiTheme="minorHAnsi" w:cs="Tahoma"/>
                <w:sz w:val="24"/>
                <w:szCs w:val="24"/>
              </w:rPr>
              <w:t xml:space="preserve">- Mise en commun des améliorations du projet de rapport par les parties prenantes à Lubumbashi et à Kinshasa; </w:t>
            </w:r>
          </w:p>
        </w:tc>
      </w:tr>
      <w:tr w:rsidR="007A49E3" w:rsidRPr="00DD2827" w:rsidTr="00151366">
        <w:tc>
          <w:tcPr>
            <w:tcW w:w="2092" w:type="dxa"/>
          </w:tcPr>
          <w:p w:rsidR="007A49E3" w:rsidRPr="00DD2827" w:rsidRDefault="007A49E3" w:rsidP="00151366">
            <w:pPr>
              <w:pStyle w:val="Paragraphedeliste"/>
              <w:ind w:left="0"/>
              <w:jc w:val="both"/>
              <w:rPr>
                <w:rFonts w:asciiTheme="minorHAnsi" w:hAnsiTheme="minorHAnsi" w:cs="Tahoma"/>
                <w:b/>
                <w:sz w:val="24"/>
                <w:szCs w:val="24"/>
              </w:rPr>
            </w:pPr>
            <w:r w:rsidRPr="00DD2827">
              <w:rPr>
                <w:rFonts w:asciiTheme="minorHAnsi" w:hAnsiTheme="minorHAnsi" w:cs="Tahoma"/>
                <w:b/>
                <w:sz w:val="24"/>
                <w:szCs w:val="24"/>
              </w:rPr>
              <w:lastRenderedPageBreak/>
              <w:t>Semaine 7</w:t>
            </w:r>
          </w:p>
          <w:p w:rsidR="007A49E3" w:rsidRPr="00DD2827" w:rsidRDefault="007A49E3" w:rsidP="00151366">
            <w:pPr>
              <w:pStyle w:val="Paragraphedeliste"/>
              <w:ind w:left="0"/>
              <w:jc w:val="both"/>
              <w:rPr>
                <w:rFonts w:asciiTheme="minorHAnsi" w:hAnsiTheme="minorHAnsi" w:cs="Tahoma"/>
                <w:b/>
                <w:sz w:val="24"/>
                <w:szCs w:val="24"/>
              </w:rPr>
            </w:pPr>
            <w:r w:rsidRPr="00DD2827">
              <w:rPr>
                <w:rFonts w:asciiTheme="minorHAnsi" w:hAnsiTheme="minorHAnsi" w:cs="DLETC S+ Myriad Pro"/>
                <w:sz w:val="24"/>
                <w:szCs w:val="24"/>
              </w:rPr>
              <w:t>18/05/16</w:t>
            </w:r>
            <w:r w:rsidRPr="00DD2827">
              <w:rPr>
                <w:rFonts w:asciiTheme="minorHAnsi" w:hAnsiTheme="minorHAnsi" w:cs="Tahoma"/>
                <w:b/>
                <w:sz w:val="24"/>
                <w:szCs w:val="24"/>
              </w:rPr>
              <w:t> </w:t>
            </w:r>
          </w:p>
        </w:tc>
        <w:tc>
          <w:tcPr>
            <w:tcW w:w="236" w:type="dxa"/>
          </w:tcPr>
          <w:p w:rsidR="007A49E3" w:rsidRPr="00DD2827" w:rsidRDefault="007A49E3" w:rsidP="00151366">
            <w:pPr>
              <w:pStyle w:val="Paragraphedeliste"/>
              <w:ind w:left="0"/>
              <w:jc w:val="both"/>
              <w:rPr>
                <w:rFonts w:asciiTheme="minorHAnsi" w:hAnsiTheme="minorHAnsi" w:cs="DLETC S+ Myriad Pro"/>
                <w:sz w:val="24"/>
                <w:szCs w:val="24"/>
              </w:rPr>
            </w:pPr>
            <w:r w:rsidRPr="00DD2827">
              <w:rPr>
                <w:rFonts w:asciiTheme="minorHAnsi" w:hAnsiTheme="minorHAnsi" w:cs="DLETC S+ Myriad Pro"/>
                <w:sz w:val="24"/>
                <w:szCs w:val="24"/>
              </w:rPr>
              <w:t>:</w:t>
            </w:r>
          </w:p>
        </w:tc>
        <w:tc>
          <w:tcPr>
            <w:tcW w:w="7169" w:type="dxa"/>
          </w:tcPr>
          <w:p w:rsidR="007A49E3" w:rsidRPr="00DD2827" w:rsidRDefault="007A49E3" w:rsidP="00151366">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7" w:hanging="177"/>
              <w:rPr>
                <w:rFonts w:asciiTheme="minorHAnsi" w:hAnsiTheme="minorHAnsi" w:cs="Tahoma"/>
                <w:sz w:val="24"/>
                <w:szCs w:val="24"/>
              </w:rPr>
            </w:pPr>
            <w:r w:rsidRPr="00DD2827">
              <w:rPr>
                <w:rFonts w:asciiTheme="minorHAnsi" w:hAnsiTheme="minorHAnsi" w:cs="Tahoma"/>
                <w:sz w:val="24"/>
                <w:szCs w:val="24"/>
              </w:rPr>
              <w:t>- Présentation du projet de rapport au CE et Publication du cadrage actualisé adopté par le CE.</w:t>
            </w:r>
          </w:p>
        </w:tc>
      </w:tr>
    </w:tbl>
    <w:p w:rsidR="007A49E3" w:rsidRPr="00DD2827" w:rsidRDefault="007A49E3" w:rsidP="007A49E3">
      <w:pPr>
        <w:pStyle w:val="Paragraphedeliste"/>
        <w:ind w:left="426"/>
        <w:jc w:val="both"/>
        <w:rPr>
          <w:rFonts w:asciiTheme="minorHAnsi" w:hAnsiTheme="minorHAnsi" w:cs="Tahoma"/>
          <w:sz w:val="24"/>
          <w:szCs w:val="24"/>
        </w:rPr>
      </w:pPr>
    </w:p>
    <w:p w:rsidR="007A49E3" w:rsidRPr="00DD2827" w:rsidRDefault="007A49E3" w:rsidP="007A49E3">
      <w:pPr>
        <w:ind w:firstLine="4536"/>
        <w:rPr>
          <w:rFonts w:asciiTheme="minorHAnsi" w:eastAsia="Times New Roman" w:hAnsiTheme="minorHAnsi" w:cs="Tahoma"/>
          <w:sz w:val="24"/>
          <w:szCs w:val="24"/>
          <w:lang w:eastAsia="fr-FR"/>
        </w:rPr>
      </w:pPr>
    </w:p>
    <w:p w:rsidR="007A49E3" w:rsidRPr="00DD2827" w:rsidRDefault="007A49E3" w:rsidP="007A49E3">
      <w:pPr>
        <w:ind w:firstLine="4536"/>
        <w:rPr>
          <w:rFonts w:asciiTheme="minorHAnsi" w:eastAsia="Times New Roman" w:hAnsiTheme="minorHAnsi" w:cs="Tahoma"/>
          <w:sz w:val="24"/>
          <w:szCs w:val="24"/>
          <w:lang w:eastAsia="fr-FR"/>
        </w:rPr>
      </w:pPr>
    </w:p>
    <w:p w:rsidR="007A49E3" w:rsidRPr="00DD2827" w:rsidRDefault="007A49E3" w:rsidP="007A49E3">
      <w:pPr>
        <w:ind w:firstLine="4536"/>
        <w:rPr>
          <w:rFonts w:asciiTheme="minorHAnsi" w:eastAsia="Times New Roman" w:hAnsiTheme="minorHAnsi" w:cs="Tahoma"/>
          <w:sz w:val="24"/>
          <w:szCs w:val="24"/>
          <w:lang w:eastAsia="fr-FR"/>
        </w:rPr>
      </w:pPr>
      <w:r w:rsidRPr="00DD2827">
        <w:rPr>
          <w:rFonts w:asciiTheme="minorHAnsi" w:eastAsia="Times New Roman" w:hAnsiTheme="minorHAnsi" w:cs="Tahoma"/>
          <w:sz w:val="24"/>
          <w:szCs w:val="24"/>
          <w:lang w:eastAsia="fr-FR"/>
        </w:rPr>
        <w:t>Kinshasa, le 14 mars 2016</w:t>
      </w:r>
    </w:p>
    <w:p w:rsidR="007A49E3" w:rsidRDefault="007A49E3" w:rsidP="00E448B5">
      <w:pPr>
        <w:pStyle w:val="Paragraphedeliste"/>
        <w:spacing w:after="0" w:line="240" w:lineRule="auto"/>
        <w:ind w:left="426"/>
        <w:jc w:val="both"/>
        <w:rPr>
          <w:rFonts w:cstheme="minorHAnsi"/>
          <w:b/>
        </w:rPr>
      </w:pPr>
    </w:p>
    <w:p w:rsidR="001C2230" w:rsidRDefault="001C2230" w:rsidP="00E448B5">
      <w:pPr>
        <w:pStyle w:val="Paragraphedeliste"/>
        <w:spacing w:after="0" w:line="240" w:lineRule="auto"/>
        <w:ind w:left="426"/>
        <w:jc w:val="both"/>
        <w:rPr>
          <w:rFonts w:cstheme="minorHAnsi"/>
          <w:b/>
        </w:rPr>
      </w:pPr>
    </w:p>
    <w:p w:rsidR="001C2230" w:rsidRPr="00751E63" w:rsidRDefault="001C2230" w:rsidP="00E448B5">
      <w:pPr>
        <w:pStyle w:val="Paragraphedeliste"/>
        <w:spacing w:after="0" w:line="240" w:lineRule="auto"/>
        <w:ind w:left="426"/>
        <w:jc w:val="both"/>
        <w:rPr>
          <w:rFonts w:cstheme="minorHAnsi"/>
          <w:b/>
        </w:rPr>
      </w:pPr>
    </w:p>
    <w:p w:rsidR="00E448B5" w:rsidRPr="005C7564" w:rsidRDefault="00E448B5" w:rsidP="00E448B5">
      <w:pPr>
        <w:spacing w:after="0"/>
        <w:ind w:firstLine="5103"/>
      </w:pPr>
    </w:p>
    <w:p w:rsidR="00E448B5" w:rsidRPr="000371B6" w:rsidRDefault="00FA7C75" w:rsidP="001C2230">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6</w:t>
      </w:r>
      <w:r w:rsidR="00E448B5">
        <w:rPr>
          <w:rFonts w:eastAsia="Times New Roman" w:cs="Calibri"/>
          <w:b/>
          <w:color w:val="FFFFFF"/>
          <w:szCs w:val="18"/>
          <w:lang w:eastAsia="fr-FR"/>
        </w:rPr>
        <w:t>8-5</w:t>
      </w:r>
      <w:r>
        <w:rPr>
          <w:rFonts w:eastAsia="Times New Roman" w:cs="Calibri"/>
          <w:b/>
          <w:color w:val="FFFFFF"/>
          <w:szCs w:val="18"/>
          <w:lang w:eastAsia="fr-FR"/>
        </w:rPr>
        <w:t>-A</w:t>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sidR="00E448B5">
        <w:rPr>
          <w:rFonts w:eastAsia="Times New Roman" w:cs="Calibri"/>
          <w:b/>
          <w:color w:val="FFFFFF"/>
          <w:szCs w:val="18"/>
          <w:lang w:eastAsia="fr-FR"/>
        </w:rPr>
        <w:tab/>
      </w:r>
      <w:r>
        <w:rPr>
          <w:rFonts w:eastAsia="Times New Roman" w:cs="Calibri"/>
          <w:b/>
          <w:color w:val="FFFFFF"/>
          <w:szCs w:val="18"/>
          <w:lang w:eastAsia="fr-FR"/>
        </w:rPr>
        <w:t>Kinshasa, le 23 Mars 2016</w:t>
      </w:r>
    </w:p>
    <w:p w:rsidR="00E448B5" w:rsidRPr="001C2230" w:rsidRDefault="00FA7C75" w:rsidP="001C2230">
      <w:pPr>
        <w:pStyle w:val="Titre1"/>
        <w:shd w:val="clear" w:color="auto" w:fill="0070C0"/>
        <w:spacing w:before="0"/>
        <w:ind w:left="-1418" w:right="-1418"/>
        <w:jc w:val="center"/>
        <w:rPr>
          <w:rFonts w:ascii="Calibri" w:hAnsi="Calibri"/>
          <w:color w:val="auto"/>
          <w:lang w:eastAsia="fr-FR"/>
        </w:rPr>
      </w:pPr>
      <w:bookmarkStart w:id="7" w:name="_Toc488866107"/>
      <w:r w:rsidRPr="001C2230">
        <w:rPr>
          <w:rFonts w:ascii="Calibri" w:hAnsi="Calibri"/>
          <w:color w:val="auto"/>
          <w:lang w:eastAsia="fr-FR"/>
        </w:rPr>
        <w:t>RAPPORT DE LA MISSION DE MBUJI MAYI</w:t>
      </w:r>
      <w:bookmarkEnd w:id="7"/>
    </w:p>
    <w:p w:rsidR="00E448B5" w:rsidRPr="00A339FC" w:rsidRDefault="00E448B5" w:rsidP="001C2230">
      <w:pPr>
        <w:shd w:val="clear" w:color="auto" w:fill="0070C0"/>
        <w:spacing w:after="0"/>
        <w:ind w:left="-1417" w:right="-1417"/>
        <w:jc w:val="center"/>
        <w:rPr>
          <w:b/>
        </w:rPr>
      </w:pPr>
      <w:r w:rsidRPr="00A339FC">
        <w:rPr>
          <w:b/>
        </w:rPr>
        <w:t>Par le Secrétariat Technique</w:t>
      </w:r>
    </w:p>
    <w:p w:rsidR="00E448B5" w:rsidRDefault="00E448B5" w:rsidP="0046396F">
      <w:pPr>
        <w:widowControl w:val="0"/>
        <w:shd w:val="clear" w:color="auto" w:fill="FFFFFF"/>
        <w:suppressAutoHyphens/>
        <w:autoSpaceDE w:val="0"/>
        <w:autoSpaceDN w:val="0"/>
        <w:adjustRightInd w:val="0"/>
        <w:spacing w:after="0" w:line="240" w:lineRule="auto"/>
        <w:rPr>
          <w:rFonts w:asciiTheme="minorHAnsi" w:hAnsiTheme="minorHAnsi"/>
        </w:rPr>
      </w:pPr>
    </w:p>
    <w:p w:rsidR="00FA7C75" w:rsidRPr="001870BA" w:rsidRDefault="00FA7C75" w:rsidP="00FA7C75">
      <w:pPr>
        <w:spacing w:line="240" w:lineRule="auto"/>
        <w:jc w:val="center"/>
        <w:rPr>
          <w:rFonts w:asciiTheme="minorHAnsi" w:hAnsiTheme="minorHAnsi"/>
          <w:b/>
          <w:sz w:val="24"/>
          <w:szCs w:val="24"/>
          <w:u w:val="single"/>
        </w:rPr>
      </w:pPr>
      <w:r w:rsidRPr="001870BA">
        <w:rPr>
          <w:rFonts w:asciiTheme="minorHAnsi" w:hAnsiTheme="minorHAnsi"/>
          <w:b/>
          <w:sz w:val="24"/>
          <w:szCs w:val="24"/>
          <w:u w:val="single"/>
        </w:rPr>
        <w:t>RAPPORT DE MISSION DE LA DELEGATION ITIE-RDC A MBUJI-MAYI</w:t>
      </w:r>
    </w:p>
    <w:p w:rsidR="00FA7C75" w:rsidRPr="001870BA" w:rsidRDefault="00FA7C75" w:rsidP="00C7360A">
      <w:pPr>
        <w:numPr>
          <w:ilvl w:val="0"/>
          <w:numId w:val="26"/>
        </w:numPr>
        <w:spacing w:after="200" w:line="276" w:lineRule="auto"/>
        <w:ind w:left="567" w:hanging="567"/>
        <w:rPr>
          <w:rFonts w:asciiTheme="minorHAnsi" w:hAnsiTheme="minorHAnsi"/>
          <w:b/>
          <w:sz w:val="24"/>
          <w:szCs w:val="24"/>
        </w:rPr>
      </w:pPr>
      <w:r w:rsidRPr="001870BA">
        <w:rPr>
          <w:rFonts w:asciiTheme="minorHAnsi" w:hAnsiTheme="minorHAnsi"/>
          <w:b/>
          <w:sz w:val="24"/>
          <w:szCs w:val="24"/>
        </w:rPr>
        <w:t xml:space="preserve">INTRODUCTION  </w:t>
      </w:r>
    </w:p>
    <w:p w:rsidR="00FA7C75" w:rsidRPr="001870BA" w:rsidRDefault="00FA7C75" w:rsidP="00FA7C75">
      <w:pPr>
        <w:jc w:val="both"/>
        <w:rPr>
          <w:rFonts w:asciiTheme="minorHAnsi" w:hAnsiTheme="minorHAnsi"/>
          <w:sz w:val="24"/>
          <w:szCs w:val="24"/>
        </w:rPr>
      </w:pPr>
      <w:r w:rsidRPr="001870BA">
        <w:rPr>
          <w:rFonts w:asciiTheme="minorHAnsi" w:hAnsiTheme="minorHAnsi"/>
          <w:sz w:val="24"/>
          <w:szCs w:val="24"/>
        </w:rPr>
        <w:t>Par l’Ordre de mission n°059/CAB.MIN/PL.SRM/ITIE/ST/2016 du 08 mars 2016 de son Excellence Monsieur le Ministre du Plan et SRM et l'Ordre de mission n°016/COORD/ITIE-RDC/ST/2016 du 07 mars 2016, nous, Monsieur Mack DUMBA Jérémy, Monsieur Jean Jacques KAYEMBE et Monsieur Thierry KABAMBA respectivement Coordonnateur National, Expert Technique Responsable et  Chef d'Antenne du Katanga, avons été chargés d’effectuer une mission officielle à Mbuji-Mayi au Kasaï Oriental dans le cadre de la préparation de l'intégration du Secteur Minier Artisanal dans les rapports ITIE.</w:t>
      </w:r>
    </w:p>
    <w:p w:rsidR="00FA7C75" w:rsidRPr="001870BA" w:rsidRDefault="00FA7C75" w:rsidP="00FA7C75">
      <w:pPr>
        <w:jc w:val="both"/>
        <w:rPr>
          <w:rFonts w:asciiTheme="minorHAnsi" w:hAnsiTheme="minorHAnsi"/>
          <w:sz w:val="24"/>
          <w:szCs w:val="24"/>
        </w:rPr>
      </w:pPr>
      <w:r w:rsidRPr="001870BA">
        <w:rPr>
          <w:rFonts w:asciiTheme="minorHAnsi" w:hAnsiTheme="minorHAnsi"/>
          <w:b/>
          <w:sz w:val="24"/>
          <w:szCs w:val="24"/>
        </w:rPr>
        <w:t>L’objet de la mission :</w:t>
      </w:r>
      <w:r w:rsidRPr="001870BA">
        <w:rPr>
          <w:rFonts w:asciiTheme="minorHAnsi" w:hAnsiTheme="minorHAnsi"/>
          <w:sz w:val="24"/>
          <w:szCs w:val="24"/>
        </w:rPr>
        <w:t xml:space="preserve"> rencontrer toutes les parties prenantes du Kasaï Oriental opérateurs dans le secteur minier artisanal diamantifère en vue de  faciliter  la collecte  des données du secteur minier artisanal.</w:t>
      </w:r>
    </w:p>
    <w:p w:rsidR="00FA7C75" w:rsidRPr="001870BA" w:rsidRDefault="00FA7C75" w:rsidP="00FA7C75">
      <w:pPr>
        <w:jc w:val="both"/>
        <w:rPr>
          <w:rFonts w:asciiTheme="minorHAnsi" w:hAnsiTheme="minorHAnsi"/>
          <w:sz w:val="24"/>
          <w:szCs w:val="24"/>
        </w:rPr>
      </w:pPr>
      <w:r w:rsidRPr="001870BA">
        <w:rPr>
          <w:rFonts w:asciiTheme="minorHAnsi" w:hAnsiTheme="minorHAnsi"/>
          <w:sz w:val="24"/>
          <w:szCs w:val="24"/>
        </w:rPr>
        <w:t>Déroulement de la mission</w:t>
      </w:r>
    </w:p>
    <w:p w:rsidR="00FA7C75" w:rsidRPr="001870BA" w:rsidRDefault="00FA7C75" w:rsidP="00FA7C75">
      <w:pPr>
        <w:jc w:val="both"/>
        <w:rPr>
          <w:rFonts w:asciiTheme="minorHAnsi" w:hAnsiTheme="minorHAnsi"/>
          <w:sz w:val="24"/>
          <w:szCs w:val="24"/>
        </w:rPr>
      </w:pPr>
      <w:r w:rsidRPr="001870BA">
        <w:rPr>
          <w:rFonts w:asciiTheme="minorHAnsi" w:hAnsiTheme="minorHAnsi"/>
          <w:sz w:val="24"/>
          <w:szCs w:val="24"/>
        </w:rPr>
        <w:t xml:space="preserve">Le Mercredi 09 mars 2016 : </w:t>
      </w:r>
    </w:p>
    <w:p w:rsidR="00FA7C75" w:rsidRPr="001870BA" w:rsidRDefault="00FA7C75" w:rsidP="00C7360A">
      <w:pPr>
        <w:pStyle w:val="Paragraphedeliste"/>
        <w:numPr>
          <w:ilvl w:val="0"/>
          <w:numId w:val="27"/>
        </w:numPr>
        <w:spacing w:after="200" w:line="276" w:lineRule="auto"/>
        <w:jc w:val="both"/>
        <w:rPr>
          <w:rFonts w:asciiTheme="minorHAnsi" w:hAnsiTheme="minorHAnsi"/>
          <w:sz w:val="24"/>
          <w:szCs w:val="24"/>
        </w:rPr>
      </w:pPr>
      <w:r w:rsidRPr="001870BA">
        <w:rPr>
          <w:rFonts w:asciiTheme="minorHAnsi" w:hAnsiTheme="minorHAnsi"/>
          <w:sz w:val="24"/>
          <w:szCs w:val="24"/>
        </w:rPr>
        <w:t>Echanges avec les Directions Provinciales de la DGI et de la DGRAD,</w:t>
      </w:r>
    </w:p>
    <w:p w:rsidR="00FA7C75" w:rsidRPr="001C2230" w:rsidRDefault="00FA7C75" w:rsidP="001C2230">
      <w:pPr>
        <w:pStyle w:val="Paragraphedeliste"/>
        <w:numPr>
          <w:ilvl w:val="0"/>
          <w:numId w:val="27"/>
        </w:numPr>
        <w:spacing w:after="200" w:line="276" w:lineRule="auto"/>
        <w:jc w:val="both"/>
        <w:rPr>
          <w:rFonts w:asciiTheme="minorHAnsi" w:hAnsiTheme="minorHAnsi"/>
          <w:sz w:val="24"/>
          <w:szCs w:val="24"/>
        </w:rPr>
      </w:pPr>
      <w:r w:rsidRPr="001870BA">
        <w:rPr>
          <w:rFonts w:asciiTheme="minorHAnsi" w:hAnsiTheme="minorHAnsi"/>
          <w:sz w:val="24"/>
          <w:szCs w:val="24"/>
        </w:rPr>
        <w:t>Civilités auprès du Commissaire Spécial Le Directeur Provincial de la DGRPRO étant absent, l’équipe d’Experts ne l’a pas rencontré.</w:t>
      </w:r>
    </w:p>
    <w:p w:rsidR="00FA7C75" w:rsidRPr="001870BA" w:rsidRDefault="00FA7C75" w:rsidP="00C7360A">
      <w:pPr>
        <w:pStyle w:val="Paragraphedeliste"/>
        <w:numPr>
          <w:ilvl w:val="0"/>
          <w:numId w:val="27"/>
        </w:numPr>
        <w:spacing w:after="200" w:line="276" w:lineRule="auto"/>
        <w:jc w:val="both"/>
        <w:rPr>
          <w:rFonts w:asciiTheme="minorHAnsi" w:hAnsiTheme="minorHAnsi"/>
          <w:sz w:val="24"/>
          <w:szCs w:val="24"/>
        </w:rPr>
      </w:pPr>
      <w:r w:rsidRPr="001870BA">
        <w:rPr>
          <w:rFonts w:asciiTheme="minorHAnsi" w:hAnsiTheme="minorHAnsi"/>
          <w:sz w:val="24"/>
          <w:szCs w:val="24"/>
        </w:rPr>
        <w:t xml:space="preserve">Echanges  avec la </w:t>
      </w:r>
      <w:r w:rsidRPr="001870BA">
        <w:rPr>
          <w:rFonts w:asciiTheme="minorHAnsi" w:hAnsiTheme="minorHAnsi"/>
          <w:sz w:val="24"/>
          <w:szCs w:val="24"/>
          <w:u w:val="single"/>
        </w:rPr>
        <w:t>FEC</w:t>
      </w:r>
      <w:r w:rsidRPr="001870BA">
        <w:rPr>
          <w:rFonts w:asciiTheme="minorHAnsi" w:hAnsiTheme="minorHAnsi"/>
          <w:sz w:val="24"/>
          <w:szCs w:val="24"/>
        </w:rPr>
        <w:t>, l</w:t>
      </w:r>
      <w:r w:rsidRPr="001870BA">
        <w:rPr>
          <w:rFonts w:asciiTheme="minorHAnsi" w:hAnsiTheme="minorHAnsi"/>
          <w:sz w:val="24"/>
          <w:szCs w:val="24"/>
          <w:u w:val="single"/>
        </w:rPr>
        <w:t>a corporation des Comptoirs</w:t>
      </w:r>
      <w:r w:rsidRPr="001870BA">
        <w:rPr>
          <w:rFonts w:asciiTheme="minorHAnsi" w:hAnsiTheme="minorHAnsi"/>
          <w:sz w:val="24"/>
          <w:szCs w:val="24"/>
        </w:rPr>
        <w:t xml:space="preserve"> et </w:t>
      </w:r>
      <w:r w:rsidRPr="001870BA">
        <w:rPr>
          <w:rFonts w:asciiTheme="minorHAnsi" w:hAnsiTheme="minorHAnsi"/>
          <w:sz w:val="24"/>
          <w:szCs w:val="24"/>
          <w:u w:val="single"/>
        </w:rPr>
        <w:t>des Bureaux d'achat de diamant</w:t>
      </w:r>
      <w:r w:rsidRPr="001870BA">
        <w:rPr>
          <w:rFonts w:asciiTheme="minorHAnsi" w:hAnsiTheme="minorHAnsi"/>
          <w:sz w:val="24"/>
          <w:szCs w:val="24"/>
        </w:rPr>
        <w:t>, les Associations des Négociants, les Coopératives et des Associations des creuseurs.</w:t>
      </w:r>
    </w:p>
    <w:p w:rsidR="00FA7C75" w:rsidRPr="001870BA" w:rsidRDefault="00FA7C75" w:rsidP="00C7360A">
      <w:pPr>
        <w:numPr>
          <w:ilvl w:val="0"/>
          <w:numId w:val="26"/>
        </w:numPr>
        <w:spacing w:after="200" w:line="276" w:lineRule="auto"/>
        <w:jc w:val="both"/>
        <w:rPr>
          <w:rFonts w:asciiTheme="minorHAnsi" w:hAnsiTheme="minorHAnsi"/>
          <w:b/>
          <w:sz w:val="24"/>
          <w:szCs w:val="24"/>
        </w:rPr>
      </w:pPr>
      <w:r w:rsidRPr="001870BA">
        <w:rPr>
          <w:rFonts w:asciiTheme="minorHAnsi" w:hAnsiTheme="minorHAnsi"/>
          <w:b/>
          <w:sz w:val="24"/>
          <w:szCs w:val="24"/>
        </w:rPr>
        <w:t>POINTS ESSENTIELS RETENUS</w:t>
      </w:r>
    </w:p>
    <w:p w:rsidR="00FA7C75" w:rsidRPr="001870BA" w:rsidRDefault="00FA7C75" w:rsidP="00FA7C75">
      <w:pPr>
        <w:ind w:left="720"/>
        <w:jc w:val="both"/>
        <w:rPr>
          <w:rFonts w:asciiTheme="minorHAnsi" w:hAnsiTheme="minorHAnsi"/>
          <w:sz w:val="24"/>
          <w:szCs w:val="24"/>
        </w:rPr>
      </w:pPr>
      <w:r w:rsidRPr="001870BA">
        <w:rPr>
          <w:rFonts w:asciiTheme="minorHAnsi" w:hAnsiTheme="minorHAnsi"/>
          <w:sz w:val="24"/>
          <w:szCs w:val="24"/>
        </w:rPr>
        <w:t>De toutes les parties prenantes, la délégation a retenu qu'il était difficile d'obtenir des  informations fiables et exhaustives dans la province à cause de:</w:t>
      </w:r>
    </w:p>
    <w:p w:rsidR="00FA7C75" w:rsidRPr="001870BA" w:rsidRDefault="00FA7C75" w:rsidP="00C7360A">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lastRenderedPageBreak/>
        <w:t>Beaucoup d'opérateurs miniers exploitant dans l’anarchie identifiés sur certains lits de rivière, spécialement les exploitants des dragues semi-industrielles ou  industrielles, ne sont pas accessibles par les services de l'Administration Fiscale. Leurs sites d'exploitation sont généralement sécurisés par les éléments de la Police  ou de l'Armée Nationales, avec la complicité de certains chefs tribaux selon le témoignage des uns et des autres. Pour la plupart des personnes rencontrées, ces mines avec une forte présence des expatriés chinois et leurs équipements  appartiendraient aux autorités politiques tant nationales que provinciales « qui nous dirigent", disent-ils.</w:t>
      </w:r>
    </w:p>
    <w:p w:rsidR="00FA7C75" w:rsidRPr="001870BA" w:rsidRDefault="00FA7C75" w:rsidP="00C7360A">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t xml:space="preserve">Les Régies financières éprouvent une grande difficulté d'identifier ou de relier les bureaux d'achat locaux aux comptoirs d'achat agréés et régulièrement inscrits aux registres des Administrations Fiscales.  </w:t>
      </w:r>
    </w:p>
    <w:p w:rsidR="00FA7C75" w:rsidRPr="001870BA" w:rsidRDefault="00FA7C75" w:rsidP="00C7360A">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t>Mauvais encadrement des exploitants artisanaux dû aux moyens très limités ou inexistants du SAESSCAM qui aboutit aussi à la non-observation du protocole d'accord entre le SEASSCAM et la DGI.</w:t>
      </w:r>
    </w:p>
    <w:p w:rsidR="00FA7C75" w:rsidRPr="001870BA" w:rsidRDefault="00FA7C75" w:rsidP="00C7360A">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t>Multiplicité des services non-attitrés sur les sites d'exploitation minière soupçonné d’être des services parallèles de l’autorité provinciale, dont le but est de contrôler et racheter toutes les pierres précieuses à la guise de cette dernière.</w:t>
      </w:r>
    </w:p>
    <w:p w:rsidR="00FA7C75" w:rsidRPr="001870BA" w:rsidRDefault="00FA7C75" w:rsidP="00C7360A">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t>Nombre très limité des ZEA pour absorber le nombre croissant des creuseurs estimé à plusieurs millions d’individus</w:t>
      </w:r>
    </w:p>
    <w:p w:rsidR="00FA7C75" w:rsidRPr="001C2230" w:rsidRDefault="00FA7C75" w:rsidP="001C2230">
      <w:pPr>
        <w:pStyle w:val="Paragraphedeliste"/>
        <w:numPr>
          <w:ilvl w:val="0"/>
          <w:numId w:val="28"/>
        </w:numPr>
        <w:spacing w:after="200" w:line="276" w:lineRule="auto"/>
        <w:jc w:val="both"/>
        <w:rPr>
          <w:rFonts w:asciiTheme="minorHAnsi" w:hAnsiTheme="minorHAnsi"/>
          <w:sz w:val="24"/>
          <w:szCs w:val="24"/>
        </w:rPr>
      </w:pPr>
      <w:r w:rsidRPr="001870BA">
        <w:rPr>
          <w:rFonts w:asciiTheme="minorHAnsi" w:hAnsiTheme="minorHAnsi"/>
          <w:sz w:val="24"/>
          <w:szCs w:val="24"/>
        </w:rPr>
        <w:t>Du fait de leur petite taille, les pierres précieuses sont faciles à transporter et à exporter illégalement vers les nouveaux centres internationaux d’achats qui échappent à la certification du Kimberley Process, de ce fait occasionne la fraude massive qui ne profite pas à l’Etat congolais.</w:t>
      </w:r>
    </w:p>
    <w:p w:rsidR="00FA7C75" w:rsidRPr="001870BA" w:rsidRDefault="00FA7C75" w:rsidP="00C7360A">
      <w:pPr>
        <w:numPr>
          <w:ilvl w:val="0"/>
          <w:numId w:val="26"/>
        </w:numPr>
        <w:spacing w:after="200" w:line="276" w:lineRule="auto"/>
        <w:jc w:val="both"/>
        <w:rPr>
          <w:rFonts w:asciiTheme="minorHAnsi" w:hAnsiTheme="minorHAnsi"/>
          <w:b/>
          <w:sz w:val="24"/>
          <w:szCs w:val="24"/>
        </w:rPr>
      </w:pPr>
      <w:r w:rsidRPr="001870BA">
        <w:rPr>
          <w:rFonts w:asciiTheme="minorHAnsi" w:hAnsiTheme="minorHAnsi"/>
          <w:b/>
          <w:sz w:val="24"/>
          <w:szCs w:val="24"/>
        </w:rPr>
        <w:t>RECOMMANDATIONS</w:t>
      </w:r>
    </w:p>
    <w:p w:rsidR="00FA7C75" w:rsidRPr="001870BA" w:rsidRDefault="00FA7C75" w:rsidP="00C7360A">
      <w:pPr>
        <w:pStyle w:val="Paragraphedeliste"/>
        <w:numPr>
          <w:ilvl w:val="0"/>
          <w:numId w:val="29"/>
        </w:numPr>
        <w:spacing w:after="200" w:line="276" w:lineRule="auto"/>
        <w:jc w:val="both"/>
        <w:rPr>
          <w:rFonts w:asciiTheme="minorHAnsi" w:hAnsiTheme="minorHAnsi"/>
          <w:sz w:val="24"/>
          <w:szCs w:val="24"/>
        </w:rPr>
      </w:pPr>
      <w:r w:rsidRPr="001870BA">
        <w:rPr>
          <w:rFonts w:asciiTheme="minorHAnsi" w:hAnsiTheme="minorHAnsi"/>
          <w:sz w:val="24"/>
          <w:szCs w:val="24"/>
        </w:rPr>
        <w:t>Ôter la couverture ou l'intervention du politique dans la gestion des contribuables du secteur de l'exploitation artisanal ou semi-industrielle du diamant.</w:t>
      </w:r>
    </w:p>
    <w:p w:rsidR="00FA7C75" w:rsidRPr="001870BA" w:rsidRDefault="00FA7C75" w:rsidP="00C7360A">
      <w:pPr>
        <w:pStyle w:val="Paragraphedeliste"/>
        <w:numPr>
          <w:ilvl w:val="0"/>
          <w:numId w:val="29"/>
        </w:numPr>
        <w:spacing w:after="200" w:line="276" w:lineRule="auto"/>
        <w:jc w:val="both"/>
        <w:rPr>
          <w:rFonts w:asciiTheme="minorHAnsi" w:hAnsiTheme="minorHAnsi"/>
          <w:sz w:val="24"/>
          <w:szCs w:val="24"/>
        </w:rPr>
      </w:pPr>
      <w:r w:rsidRPr="001870BA">
        <w:rPr>
          <w:rFonts w:asciiTheme="minorHAnsi" w:hAnsiTheme="minorHAnsi"/>
          <w:sz w:val="24"/>
          <w:szCs w:val="24"/>
        </w:rPr>
        <w:t>Le Gouvernement devra s'impliquer fortement pour faciliter le travail des Administrations fiscales qui n'arrivent pas à opérer en toute quiétude.</w:t>
      </w:r>
    </w:p>
    <w:p w:rsidR="00FA7C75" w:rsidRPr="001C2230" w:rsidRDefault="00FA7C75" w:rsidP="001C2230">
      <w:pPr>
        <w:pStyle w:val="Paragraphedeliste"/>
        <w:numPr>
          <w:ilvl w:val="0"/>
          <w:numId w:val="29"/>
        </w:numPr>
        <w:spacing w:after="200" w:line="276" w:lineRule="auto"/>
        <w:jc w:val="both"/>
        <w:rPr>
          <w:rFonts w:asciiTheme="minorHAnsi" w:hAnsiTheme="minorHAnsi"/>
          <w:sz w:val="24"/>
          <w:szCs w:val="24"/>
        </w:rPr>
      </w:pPr>
      <w:r w:rsidRPr="001870BA">
        <w:rPr>
          <w:rFonts w:asciiTheme="minorHAnsi" w:hAnsiTheme="minorHAnsi"/>
          <w:sz w:val="24"/>
          <w:szCs w:val="24"/>
        </w:rPr>
        <w:t xml:space="preserve">Les </w:t>
      </w:r>
      <w:bookmarkStart w:id="8" w:name="_GoBack"/>
      <w:bookmarkEnd w:id="8"/>
      <w:r w:rsidRPr="001870BA">
        <w:rPr>
          <w:rFonts w:asciiTheme="minorHAnsi" w:hAnsiTheme="minorHAnsi"/>
          <w:sz w:val="24"/>
          <w:szCs w:val="24"/>
        </w:rPr>
        <w:t>Administrations Centrales de Kinshasa devraient communiquer aux Administrations locales les répertoires exhaustifs des comptoirs et de leurs acheteurs locaux.</w:t>
      </w:r>
    </w:p>
    <w:p w:rsidR="00FA7C75" w:rsidRPr="001870BA" w:rsidRDefault="00FA7C75" w:rsidP="00C7360A">
      <w:pPr>
        <w:pStyle w:val="Paragraphedeliste"/>
        <w:numPr>
          <w:ilvl w:val="0"/>
          <w:numId w:val="29"/>
        </w:numPr>
        <w:spacing w:after="200" w:line="276" w:lineRule="auto"/>
        <w:jc w:val="both"/>
        <w:rPr>
          <w:rFonts w:asciiTheme="minorHAnsi" w:hAnsiTheme="minorHAnsi"/>
          <w:sz w:val="24"/>
          <w:szCs w:val="24"/>
        </w:rPr>
      </w:pPr>
      <w:r w:rsidRPr="001870BA">
        <w:rPr>
          <w:rFonts w:asciiTheme="minorHAnsi" w:hAnsiTheme="minorHAnsi"/>
          <w:sz w:val="24"/>
          <w:szCs w:val="24"/>
        </w:rPr>
        <w:t>Accélérer la révision de certaines dispositions du Code Minier qui empêchent l'émergence de la classe moyenne.</w:t>
      </w:r>
    </w:p>
    <w:p w:rsidR="00FA7C75" w:rsidRPr="001870BA" w:rsidRDefault="00FA7C75" w:rsidP="00C7360A">
      <w:pPr>
        <w:pStyle w:val="Paragraphedeliste"/>
        <w:numPr>
          <w:ilvl w:val="0"/>
          <w:numId w:val="29"/>
        </w:numPr>
        <w:spacing w:after="200" w:line="276" w:lineRule="auto"/>
        <w:jc w:val="both"/>
        <w:rPr>
          <w:rFonts w:asciiTheme="minorHAnsi" w:hAnsiTheme="minorHAnsi"/>
          <w:sz w:val="24"/>
          <w:szCs w:val="24"/>
        </w:rPr>
      </w:pPr>
      <w:r w:rsidRPr="001870BA">
        <w:rPr>
          <w:rFonts w:asciiTheme="minorHAnsi" w:hAnsiTheme="minorHAnsi"/>
          <w:sz w:val="24"/>
          <w:szCs w:val="24"/>
        </w:rPr>
        <w:t>Appliquer la loi pour retirer les Titres miniers d'entre les mains des personnes qui les gèlent.</w:t>
      </w:r>
    </w:p>
    <w:p w:rsidR="00FA7C75" w:rsidRPr="001870BA" w:rsidRDefault="00FA7C75" w:rsidP="00C7360A">
      <w:pPr>
        <w:numPr>
          <w:ilvl w:val="0"/>
          <w:numId w:val="26"/>
        </w:numPr>
        <w:spacing w:after="200" w:line="276" w:lineRule="auto"/>
        <w:jc w:val="both"/>
        <w:rPr>
          <w:rFonts w:asciiTheme="minorHAnsi" w:hAnsiTheme="minorHAnsi"/>
          <w:b/>
          <w:sz w:val="24"/>
          <w:szCs w:val="24"/>
        </w:rPr>
      </w:pPr>
      <w:r w:rsidRPr="001870BA">
        <w:rPr>
          <w:rFonts w:asciiTheme="minorHAnsi" w:hAnsiTheme="minorHAnsi"/>
          <w:b/>
          <w:sz w:val="24"/>
          <w:szCs w:val="24"/>
        </w:rPr>
        <w:lastRenderedPageBreak/>
        <w:t xml:space="preserve">CONCLUSION </w:t>
      </w:r>
    </w:p>
    <w:p w:rsidR="00FA7C75" w:rsidRPr="001870BA" w:rsidRDefault="00FA7C75" w:rsidP="00CA61F9">
      <w:pPr>
        <w:spacing w:after="0"/>
        <w:jc w:val="both"/>
        <w:rPr>
          <w:rFonts w:asciiTheme="minorHAnsi" w:hAnsiTheme="minorHAnsi"/>
          <w:sz w:val="24"/>
          <w:szCs w:val="24"/>
        </w:rPr>
      </w:pPr>
      <w:r w:rsidRPr="001870BA">
        <w:rPr>
          <w:rFonts w:asciiTheme="minorHAnsi" w:hAnsiTheme="minorHAnsi"/>
          <w:sz w:val="24"/>
          <w:szCs w:val="24"/>
        </w:rPr>
        <w:t xml:space="preserve">La collecte des informations du secteur minier artisanal du diamant sera possible et efficace que si les recommandations, ci-haut, étaient mise en </w:t>
      </w:r>
      <w:r w:rsidR="00406336" w:rsidRPr="001870BA">
        <w:rPr>
          <w:rFonts w:asciiTheme="minorHAnsi" w:hAnsiTheme="minorHAnsi"/>
          <w:sz w:val="24"/>
          <w:szCs w:val="24"/>
        </w:rPr>
        <w:t>œuvre</w:t>
      </w:r>
      <w:r w:rsidRPr="001870BA">
        <w:rPr>
          <w:rFonts w:asciiTheme="minorHAnsi" w:hAnsiTheme="minorHAnsi"/>
          <w:sz w:val="24"/>
          <w:szCs w:val="24"/>
        </w:rPr>
        <w:t>.</w:t>
      </w:r>
    </w:p>
    <w:p w:rsidR="00FA7C75" w:rsidRPr="001870BA" w:rsidRDefault="00FA7C75" w:rsidP="00107E68">
      <w:pPr>
        <w:spacing w:after="0"/>
        <w:ind w:firstLine="4536"/>
        <w:jc w:val="both"/>
        <w:rPr>
          <w:rFonts w:asciiTheme="minorHAnsi" w:hAnsiTheme="minorHAnsi"/>
          <w:sz w:val="24"/>
          <w:szCs w:val="24"/>
        </w:rPr>
      </w:pPr>
      <w:r w:rsidRPr="001870BA">
        <w:rPr>
          <w:rFonts w:asciiTheme="minorHAnsi" w:hAnsiTheme="minorHAnsi"/>
          <w:sz w:val="24"/>
          <w:szCs w:val="24"/>
        </w:rPr>
        <w:t>Fait à Kinshasa, le 11 mars 2016</w:t>
      </w:r>
    </w:p>
    <w:p w:rsidR="00FA7C75" w:rsidRPr="00316753" w:rsidRDefault="00FA7C75" w:rsidP="00107E68">
      <w:pPr>
        <w:spacing w:after="0"/>
        <w:ind w:right="1417" w:firstLine="4536"/>
        <w:jc w:val="center"/>
        <w:rPr>
          <w:rFonts w:asciiTheme="minorHAnsi" w:hAnsiTheme="minorHAnsi"/>
          <w:b/>
          <w:sz w:val="24"/>
          <w:szCs w:val="24"/>
          <w:lang w:val="fr-FR"/>
        </w:rPr>
      </w:pPr>
      <w:r w:rsidRPr="001870BA">
        <w:rPr>
          <w:rFonts w:asciiTheme="minorHAnsi" w:hAnsiTheme="minorHAnsi"/>
          <w:b/>
          <w:sz w:val="24"/>
          <w:szCs w:val="24"/>
          <w:lang w:val="en-US"/>
        </w:rPr>
        <w:t xml:space="preserve">Prof Mack Dumba </w:t>
      </w:r>
      <w:r w:rsidR="00406336" w:rsidRPr="001870BA">
        <w:rPr>
          <w:rFonts w:asciiTheme="minorHAnsi" w:hAnsiTheme="minorHAnsi"/>
          <w:b/>
          <w:sz w:val="24"/>
          <w:szCs w:val="24"/>
          <w:lang w:val="en-US"/>
        </w:rPr>
        <w:t>Jeremy</w:t>
      </w:r>
    </w:p>
    <w:p w:rsidR="0046396F" w:rsidRDefault="001C2230" w:rsidP="0046396F">
      <w:pPr>
        <w:ind w:right="1417" w:firstLine="4536"/>
        <w:jc w:val="center"/>
        <w:rPr>
          <w:rFonts w:asciiTheme="minorHAnsi" w:hAnsiTheme="minorHAnsi"/>
          <w:sz w:val="24"/>
          <w:szCs w:val="24"/>
          <w:lang w:val="en-US"/>
        </w:rPr>
      </w:pPr>
      <w:r w:rsidRPr="00316753">
        <w:rPr>
          <w:rFonts w:asciiTheme="minorHAnsi" w:hAnsiTheme="minorHAnsi"/>
          <w:sz w:val="24"/>
          <w:szCs w:val="24"/>
          <w:lang w:val="fr-FR"/>
        </w:rPr>
        <w:t>Coordonnateur</w:t>
      </w:r>
      <w:r>
        <w:rPr>
          <w:rFonts w:asciiTheme="minorHAnsi" w:hAnsiTheme="minorHAnsi"/>
          <w:sz w:val="24"/>
          <w:szCs w:val="24"/>
          <w:lang w:val="en-US"/>
        </w:rPr>
        <w:t xml:space="preserve"> National</w:t>
      </w:r>
    </w:p>
    <w:p w:rsidR="0046396F" w:rsidRDefault="0046396F" w:rsidP="0046396F">
      <w:pPr>
        <w:spacing w:before="240"/>
        <w:ind w:right="1417" w:firstLine="4536"/>
        <w:jc w:val="center"/>
        <w:rPr>
          <w:rFonts w:asciiTheme="minorHAnsi" w:hAnsiTheme="minorHAnsi"/>
          <w:sz w:val="24"/>
          <w:szCs w:val="24"/>
          <w:lang w:val="en-US"/>
        </w:rPr>
      </w:pPr>
    </w:p>
    <w:p w:rsidR="0046396F" w:rsidRDefault="0046396F" w:rsidP="00C172AF">
      <w:pPr>
        <w:spacing w:before="240"/>
        <w:ind w:right="1417"/>
        <w:rPr>
          <w:rFonts w:asciiTheme="minorHAnsi" w:hAnsiTheme="minorHAnsi"/>
          <w:sz w:val="24"/>
          <w:szCs w:val="24"/>
          <w:lang w:val="en-US"/>
        </w:rPr>
      </w:pPr>
    </w:p>
    <w:p w:rsidR="00107E68" w:rsidRPr="0046396F" w:rsidRDefault="00107E68" w:rsidP="0046396F">
      <w:pPr>
        <w:pStyle w:val="Titre1"/>
        <w:shd w:val="clear" w:color="auto" w:fill="0070C0"/>
        <w:ind w:left="-1418" w:right="-1418" w:firstLine="1418"/>
        <w:jc w:val="center"/>
        <w:rPr>
          <w:rFonts w:ascii="Calibri" w:hAnsi="Calibri"/>
          <w:color w:val="000000" w:themeColor="text1"/>
          <w:sz w:val="24"/>
          <w:szCs w:val="24"/>
          <w:lang w:val="en-US"/>
        </w:rPr>
      </w:pPr>
      <w:bookmarkStart w:id="9" w:name="_Toc488866108"/>
      <w:r w:rsidRPr="0046396F">
        <w:rPr>
          <w:rFonts w:ascii="Calibri" w:hAnsi="Calibri"/>
          <w:color w:val="000000" w:themeColor="text1"/>
        </w:rPr>
        <w:t>PROCÈS-VERBAL SIGNE DE LA REUNION ORDINAIRE DU CE DU 23 MARS 2016</w:t>
      </w:r>
      <w:bookmarkEnd w:id="9"/>
    </w:p>
    <w:p w:rsidR="00CA61F9" w:rsidRDefault="00CA61F9">
      <w:pPr>
        <w:jc w:val="both"/>
      </w:pPr>
      <w:r>
        <w:rPr>
          <w:noProof/>
          <w:lang w:val="fr-FR" w:eastAsia="fr-FR"/>
        </w:rPr>
        <w:lastRenderedPageBreak/>
        <w:drawing>
          <wp:anchor distT="0" distB="0" distL="114300" distR="114300" simplePos="0" relativeHeight="251666432" behindDoc="0" locked="0" layoutInCell="1" allowOverlap="0">
            <wp:simplePos x="0" y="0"/>
            <wp:positionH relativeFrom="page">
              <wp:posOffset>0</wp:posOffset>
            </wp:positionH>
            <wp:positionV relativeFrom="page">
              <wp:posOffset>1</wp:posOffset>
            </wp:positionV>
            <wp:extent cx="7518400" cy="10617200"/>
            <wp:effectExtent l="0" t="0" r="0" b="0"/>
            <wp:wrapTopAndBottom/>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1" cstate="print"/>
                    <a:stretch>
                      <a:fillRect/>
                    </a:stretch>
                  </pic:blipFill>
                  <pic:spPr>
                    <a:xfrm>
                      <a:off x="0" y="0"/>
                      <a:ext cx="7518400" cy="10617200"/>
                    </a:xfrm>
                    <a:prstGeom prst="rect">
                      <a:avLst/>
                    </a:prstGeom>
                  </pic:spPr>
                </pic:pic>
              </a:graphicData>
            </a:graphic>
          </wp:anchor>
        </w:drawing>
      </w:r>
    </w:p>
    <w:p w:rsidR="00CA61F9" w:rsidRDefault="00CA61F9">
      <w:pPr>
        <w:sectPr w:rsidR="00CA61F9" w:rsidSect="00CA61F9">
          <w:pgSz w:w="11906" w:h="16838"/>
          <w:pgMar w:top="1418" w:right="1418" w:bottom="1418" w:left="1418" w:header="709" w:footer="709" w:gutter="0"/>
          <w:cols w:space="708"/>
          <w:docGrid w:linePitch="360"/>
        </w:sectPr>
      </w:pPr>
    </w:p>
    <w:p w:rsidR="00CA61F9" w:rsidRDefault="00CA61F9">
      <w:pPr>
        <w:jc w:val="both"/>
      </w:pPr>
      <w:r>
        <w:rPr>
          <w:noProof/>
          <w:lang w:val="fr-FR" w:eastAsia="fr-FR"/>
        </w:rPr>
        <w:lastRenderedPageBreak/>
        <w:drawing>
          <wp:anchor distT="0" distB="0" distL="114300" distR="114300" simplePos="0" relativeHeight="251667456" behindDoc="0" locked="0" layoutInCell="1" allowOverlap="0">
            <wp:simplePos x="0" y="0"/>
            <wp:positionH relativeFrom="page">
              <wp:posOffset>0</wp:posOffset>
            </wp:positionH>
            <wp:positionV relativeFrom="page">
              <wp:posOffset>0</wp:posOffset>
            </wp:positionV>
            <wp:extent cx="7543800" cy="10643616"/>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stretch>
                      <a:fillRect/>
                    </a:stretch>
                  </pic:blipFill>
                  <pic:spPr>
                    <a:xfrm>
                      <a:off x="0" y="0"/>
                      <a:ext cx="7543800" cy="10643616"/>
                    </a:xfrm>
                    <a:prstGeom prst="rect">
                      <a:avLst/>
                    </a:prstGeom>
                  </pic:spPr>
                </pic:pic>
              </a:graphicData>
            </a:graphic>
          </wp:anchor>
        </w:drawing>
      </w:r>
    </w:p>
    <w:p w:rsidR="00CA61F9" w:rsidRDefault="00CA61F9">
      <w:pPr>
        <w:sectPr w:rsidR="00CA61F9">
          <w:pgSz w:w="11880" w:h="16762"/>
          <w:pgMar w:top="1440" w:right="1440" w:bottom="1440" w:left="1440" w:header="720" w:footer="720" w:gutter="0"/>
          <w:cols w:space="720"/>
        </w:sectPr>
      </w:pPr>
    </w:p>
    <w:p w:rsidR="00CA61F9" w:rsidRDefault="00CA61F9">
      <w:pPr>
        <w:jc w:val="both"/>
      </w:pPr>
      <w:r>
        <w:rPr>
          <w:noProof/>
          <w:lang w:val="fr-FR" w:eastAsia="fr-FR"/>
        </w:rPr>
        <w:lastRenderedPageBreak/>
        <w:drawing>
          <wp:anchor distT="0" distB="0" distL="114300" distR="114300" simplePos="0" relativeHeight="251668480" behindDoc="0" locked="0" layoutInCell="1" allowOverlap="0">
            <wp:simplePos x="0" y="0"/>
            <wp:positionH relativeFrom="page">
              <wp:posOffset>0</wp:posOffset>
            </wp:positionH>
            <wp:positionV relativeFrom="page">
              <wp:posOffset>0</wp:posOffset>
            </wp:positionV>
            <wp:extent cx="7552944" cy="10643616"/>
            <wp:effectExtent l="0" t="0" r="0" b="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stretch>
                      <a:fillRect/>
                    </a:stretch>
                  </pic:blipFill>
                  <pic:spPr>
                    <a:xfrm>
                      <a:off x="0" y="0"/>
                      <a:ext cx="7552944" cy="10643616"/>
                    </a:xfrm>
                    <a:prstGeom prst="rect">
                      <a:avLst/>
                    </a:prstGeom>
                  </pic:spPr>
                </pic:pic>
              </a:graphicData>
            </a:graphic>
          </wp:anchor>
        </w:drawing>
      </w:r>
    </w:p>
    <w:p w:rsidR="00CA61F9" w:rsidRDefault="00CA61F9">
      <w:pPr>
        <w:sectPr w:rsidR="00CA61F9">
          <w:pgSz w:w="11894" w:h="16762"/>
          <w:pgMar w:top="1440" w:right="1440" w:bottom="1440" w:left="1440" w:header="720" w:footer="720" w:gutter="0"/>
          <w:cols w:space="720"/>
        </w:sectPr>
      </w:pPr>
    </w:p>
    <w:p w:rsidR="00CA61F9" w:rsidRDefault="00CA61F9">
      <w:pPr>
        <w:jc w:val="both"/>
      </w:pPr>
      <w:r>
        <w:rPr>
          <w:noProof/>
          <w:lang w:val="fr-FR" w:eastAsia="fr-FR"/>
        </w:rPr>
        <w:lastRenderedPageBreak/>
        <w:drawing>
          <wp:anchor distT="0" distB="0" distL="114300" distR="114300" simplePos="0" relativeHeight="251669504" behindDoc="0" locked="0" layoutInCell="1" allowOverlap="0">
            <wp:simplePos x="0" y="0"/>
            <wp:positionH relativeFrom="page">
              <wp:posOffset>0</wp:posOffset>
            </wp:positionH>
            <wp:positionV relativeFrom="page">
              <wp:posOffset>1</wp:posOffset>
            </wp:positionV>
            <wp:extent cx="7518400" cy="10642600"/>
            <wp:effectExtent l="0" t="0" r="0" b="0"/>
            <wp:wrapTopAndBottom/>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4" cstate="print"/>
                    <a:stretch>
                      <a:fillRect/>
                    </a:stretch>
                  </pic:blipFill>
                  <pic:spPr>
                    <a:xfrm>
                      <a:off x="0" y="0"/>
                      <a:ext cx="7518400" cy="10642600"/>
                    </a:xfrm>
                    <a:prstGeom prst="rect">
                      <a:avLst/>
                    </a:prstGeom>
                  </pic:spPr>
                </pic:pic>
              </a:graphicData>
            </a:graphic>
          </wp:anchor>
        </w:drawing>
      </w:r>
    </w:p>
    <w:p w:rsidR="00CA61F9" w:rsidRDefault="00CA61F9">
      <w:pPr>
        <w:sectPr w:rsidR="00CA61F9">
          <w:pgSz w:w="11866" w:h="16776"/>
          <w:pgMar w:top="1440" w:right="1440" w:bottom="1440" w:left="1440" w:header="720" w:footer="720" w:gutter="0"/>
          <w:cols w:space="720"/>
        </w:sectPr>
      </w:pPr>
    </w:p>
    <w:p w:rsidR="00CA61F9" w:rsidRDefault="00CA61F9" w:rsidP="00107E68">
      <w:pPr>
        <w:jc w:val="both"/>
      </w:pPr>
      <w:r>
        <w:rPr>
          <w:noProof/>
          <w:lang w:val="fr-FR" w:eastAsia="fr-FR"/>
        </w:rPr>
        <w:lastRenderedPageBreak/>
        <w:drawing>
          <wp:anchor distT="0" distB="0" distL="114300" distR="114300" simplePos="0" relativeHeight="251670528" behindDoc="0" locked="0" layoutInCell="1" allowOverlap="0">
            <wp:simplePos x="0" y="0"/>
            <wp:positionH relativeFrom="page">
              <wp:posOffset>0</wp:posOffset>
            </wp:positionH>
            <wp:positionV relativeFrom="page">
              <wp:posOffset>0</wp:posOffset>
            </wp:positionV>
            <wp:extent cx="7626096" cy="10634472"/>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5"/>
                    <a:stretch>
                      <a:fillRect/>
                    </a:stretch>
                  </pic:blipFill>
                  <pic:spPr>
                    <a:xfrm>
                      <a:off x="0" y="0"/>
                      <a:ext cx="7626096" cy="10634472"/>
                    </a:xfrm>
                    <a:prstGeom prst="rect">
                      <a:avLst/>
                    </a:prstGeom>
                  </pic:spPr>
                </pic:pic>
              </a:graphicData>
            </a:graphic>
          </wp:anchor>
        </w:drawing>
      </w:r>
    </w:p>
    <w:sectPr w:rsidR="00CA61F9" w:rsidSect="00687FA2">
      <w:head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051" w:rsidRDefault="00F71051" w:rsidP="00FA7C75">
      <w:pPr>
        <w:spacing w:after="0" w:line="240" w:lineRule="auto"/>
      </w:pPr>
      <w:r>
        <w:separator/>
      </w:r>
    </w:p>
  </w:endnote>
  <w:endnote w:type="continuationSeparator" w:id="1">
    <w:p w:rsidR="00F71051" w:rsidRDefault="00F71051" w:rsidP="00FA7C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yriad Pro SemiCond">
    <w:altName w:val="Times New Roman"/>
    <w:charset w:val="00"/>
    <w:family w:val="auto"/>
    <w:pitch w:val="variable"/>
    <w:sig w:usb0="00000001"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SHBE R+ Myriad Pro">
    <w:altName w:val="Myriad Pro"/>
    <w:panose1 w:val="00000000000000000000"/>
    <w:charset w:val="00"/>
    <w:family w:val="swiss"/>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DLETC S+ Myriad Pro">
    <w:altName w:val="Myriad Pro"/>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264475"/>
      <w:docPartObj>
        <w:docPartGallery w:val="Page Numbers (Bottom of Page)"/>
        <w:docPartUnique/>
      </w:docPartObj>
    </w:sdtPr>
    <w:sdtContent>
      <w:p w:rsidR="00B0014A" w:rsidRDefault="00B0014A" w:rsidP="00312E3F">
        <w:pPr>
          <w:pStyle w:val="Pieddepage"/>
          <w:ind w:left="851" w:right="1416"/>
          <w:jc w:val="right"/>
        </w:pPr>
        <w:r w:rsidRPr="002849D5">
          <w:rPr>
            <w:b/>
            <w:i/>
            <w:noProof/>
            <w:sz w:val="18"/>
            <w:lang w:val="fr-FR" w:eastAsia="fr-FR"/>
          </w:rPr>
          <w:pict>
            <v:line id="Connecteur droit 7" o:spid="_x0000_s4098" style="position:absolute;left:0;text-align:left;flip:y;z-index:251665408;visibility:visible;mso-position-horizontal-relative:margin;mso-position-vertical-relative:text;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" strokecolor="#5b9bd5 [3204]" strokeweight=".5pt">
              <v:stroke joinstyle="miter"/>
              <w10:wrap anchorx="margin"/>
            </v:line>
          </w:pict>
        </w:r>
        <w:r w:rsidRPr="00DB4D92">
          <w:rPr>
            <w:b/>
            <w:i/>
            <w:sz w:val="16"/>
          </w:rPr>
          <w:t>Documents soumis par le Secrétariat Technique de l’ITIE-RDC</w:t>
        </w:r>
        <w:r>
          <w:tab/>
          <w:t xml:space="preserve">Page | </w:t>
        </w:r>
        <w:fldSimple w:instr="PAGE   \* MERGEFORMAT">
          <w:r>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051" w:rsidRDefault="00F71051" w:rsidP="00FA7C75">
      <w:pPr>
        <w:spacing w:after="0" w:line="240" w:lineRule="auto"/>
      </w:pPr>
      <w:r>
        <w:separator/>
      </w:r>
    </w:p>
  </w:footnote>
  <w:footnote w:type="continuationSeparator" w:id="1">
    <w:p w:rsidR="00F71051" w:rsidRDefault="00F71051" w:rsidP="00FA7C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4A" w:rsidRDefault="00B0014A">
    <w:pPr>
      <w:pStyle w:val="En-tte"/>
      <w:jc w:val="center"/>
    </w:pPr>
    <w:r>
      <w:rPr>
        <w:noProof/>
        <w:lang w:val="fr-FR" w:eastAsia="fr-FR"/>
      </w:rPr>
      <w:drawing>
        <wp:anchor distT="0" distB="0" distL="114300" distR="114300" simplePos="0" relativeHeight="251662336" behindDoc="0" locked="0" layoutInCell="1" allowOverlap="1">
          <wp:simplePos x="0" y="0"/>
          <wp:positionH relativeFrom="column">
            <wp:posOffset>445860</wp:posOffset>
          </wp:positionH>
          <wp:positionV relativeFrom="paragraph">
            <wp:posOffset>-223339</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8"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r>
      <w:rPr>
        <w:noProof/>
        <w:lang w:val="fr-FR" w:eastAsia="fr-FR"/>
      </w:rPr>
      <w:pict>
        <v:shapetype id="_x0000_t202" coordsize="21600,21600" o:spt="202" path="m,l,21600r21600,l21600,xe">
          <v:stroke joinstyle="miter"/>
          <v:path gradientshapeok="t" o:connecttype="rect"/>
        </v:shapetype>
        <v:shape id="Zone de texte 3" o:spid="_x0000_s4099" type="#_x0000_t202" style="position:absolute;left:0;text-align:left;margin-left:330.05pt;margin-top:-6.85pt;width:181.45pt;height:23.4pt;z-index:251663360;visibility:visible;mso-width-percent:400;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" stroked="f">
          <v:textbox>
            <w:txbxContent>
              <w:p w:rsidR="00B0014A" w:rsidRDefault="00B0014A" w:rsidP="00151366">
                <w:pPr>
                  <w:rPr>
                    <w:lang w:val="fr-FR"/>
                  </w:rPr>
                </w:pPr>
                <w:r w:rsidRPr="007150E6">
                  <w:rPr>
                    <w:b/>
                    <w:sz w:val="28"/>
                    <w:szCs w:val="24"/>
                  </w:rPr>
                  <w:t>Comité Exécutif</w:t>
                </w:r>
              </w:p>
            </w:txbxContent>
          </v:textbox>
        </v:shape>
      </w:pict>
    </w:r>
  </w:p>
  <w:p w:rsidR="00B0014A" w:rsidRPr="003C2D3B" w:rsidRDefault="00B0014A" w:rsidP="00FE7EBF">
    <w:pPr>
      <w:rPr>
        <w:vertAlign w:val="superscrip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4A" w:rsidRDefault="00B0014A">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7" type="#_x0000_t202" style="position:absolute;margin-left:317.1pt;margin-top:-19.2pt;width:181.4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2piwIAABs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" stroked="f">
          <v:textbox>
            <w:txbxContent>
              <w:p w:rsidR="00B0014A" w:rsidRDefault="00B0014A">
                <w:pPr>
                  <w:rPr>
                    <w:lang w:val="fr-FR"/>
                  </w:rPr>
                </w:pPr>
                <w:r w:rsidRPr="007150E6">
                  <w:rPr>
                    <w:b/>
                    <w:sz w:val="28"/>
                    <w:szCs w:val="24"/>
                  </w:rPr>
                  <w:t>Comité Exécutif</w:t>
                </w:r>
              </w:p>
            </w:txbxContent>
          </v:textbox>
        </v:shape>
      </w:pict>
    </w:r>
    <w:r>
      <w:rPr>
        <w:noProof/>
        <w:lang w:val="fr-FR" w:eastAsia="fr-F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-312420</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37"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p w:rsidR="00B0014A" w:rsidRPr="00D2767D" w:rsidRDefault="00B0014A" w:rsidP="00E448B5">
    <w:pPr>
      <w:pStyle w:val="En-tte"/>
      <w:jc w:val="right"/>
      <w:rPr>
        <w:b/>
        <w:sz w:val="24"/>
        <w:szCs w:val="24"/>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231"/>
    <w:multiLevelType w:val="hybridMultilevel"/>
    <w:tmpl w:val="D1B81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C42CEC"/>
    <w:multiLevelType w:val="hybridMultilevel"/>
    <w:tmpl w:val="4B822E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346301"/>
    <w:multiLevelType w:val="multilevel"/>
    <w:tmpl w:val="E9F29826"/>
    <w:numStyleLink w:val="Style1"/>
  </w:abstractNum>
  <w:abstractNum w:abstractNumId="3">
    <w:nsid w:val="04486498"/>
    <w:multiLevelType w:val="hybridMultilevel"/>
    <w:tmpl w:val="DF4C102A"/>
    <w:lvl w:ilvl="0" w:tplc="D47AFCA8">
      <w:start w:val="5"/>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500641"/>
    <w:multiLevelType w:val="hybridMultilevel"/>
    <w:tmpl w:val="EC8EA43E"/>
    <w:lvl w:ilvl="0" w:tplc="483A7160">
      <w:start w:val="1"/>
      <w:numFmt w:val="decimal"/>
      <w:lvlText w:val="1.%1."/>
      <w:lvlJc w:val="left"/>
      <w:pPr>
        <w:ind w:left="928" w:hanging="360"/>
      </w:pPr>
      <w:rPr>
        <w:rFonts w:hint="default"/>
        <w:b/>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nsid w:val="09855DE8"/>
    <w:multiLevelType w:val="hybridMultilevel"/>
    <w:tmpl w:val="37B21DE0"/>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2673F8"/>
    <w:multiLevelType w:val="hybridMultilevel"/>
    <w:tmpl w:val="7F60F9F2"/>
    <w:lvl w:ilvl="0" w:tplc="80BACE7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DF43DC"/>
    <w:multiLevelType w:val="hybridMultilevel"/>
    <w:tmpl w:val="2410F4C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1F2B6F6A"/>
    <w:multiLevelType w:val="hybridMultilevel"/>
    <w:tmpl w:val="5C3A921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F664ACB"/>
    <w:multiLevelType w:val="hybridMultilevel"/>
    <w:tmpl w:val="36384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F6E6780"/>
    <w:multiLevelType w:val="hybridMultilevel"/>
    <w:tmpl w:val="BDEECA36"/>
    <w:lvl w:ilvl="0" w:tplc="040C000F">
      <w:start w:val="1"/>
      <w:numFmt w:val="decimal"/>
      <w:lvlText w:val="%1."/>
      <w:lvlJc w:val="left"/>
      <w:pPr>
        <w:ind w:left="1779" w:hanging="360"/>
      </w:pPr>
    </w:lvl>
    <w:lvl w:ilvl="1" w:tplc="040C0019" w:tentative="1">
      <w:start w:val="1"/>
      <w:numFmt w:val="lowerLetter"/>
      <w:lvlText w:val="%2."/>
      <w:lvlJc w:val="left"/>
      <w:pPr>
        <w:ind w:left="2499" w:hanging="360"/>
      </w:pPr>
    </w:lvl>
    <w:lvl w:ilvl="2" w:tplc="040C001B" w:tentative="1">
      <w:start w:val="1"/>
      <w:numFmt w:val="lowerRoman"/>
      <w:lvlText w:val="%3."/>
      <w:lvlJc w:val="right"/>
      <w:pPr>
        <w:ind w:left="3219" w:hanging="180"/>
      </w:pPr>
    </w:lvl>
    <w:lvl w:ilvl="3" w:tplc="040C000F" w:tentative="1">
      <w:start w:val="1"/>
      <w:numFmt w:val="decimal"/>
      <w:lvlText w:val="%4."/>
      <w:lvlJc w:val="left"/>
      <w:pPr>
        <w:ind w:left="3939" w:hanging="360"/>
      </w:pPr>
    </w:lvl>
    <w:lvl w:ilvl="4" w:tplc="040C0019" w:tentative="1">
      <w:start w:val="1"/>
      <w:numFmt w:val="lowerLetter"/>
      <w:lvlText w:val="%5."/>
      <w:lvlJc w:val="left"/>
      <w:pPr>
        <w:ind w:left="4659" w:hanging="360"/>
      </w:pPr>
    </w:lvl>
    <w:lvl w:ilvl="5" w:tplc="040C001B" w:tentative="1">
      <w:start w:val="1"/>
      <w:numFmt w:val="lowerRoman"/>
      <w:lvlText w:val="%6."/>
      <w:lvlJc w:val="right"/>
      <w:pPr>
        <w:ind w:left="5379" w:hanging="180"/>
      </w:pPr>
    </w:lvl>
    <w:lvl w:ilvl="6" w:tplc="040C000F" w:tentative="1">
      <w:start w:val="1"/>
      <w:numFmt w:val="decimal"/>
      <w:lvlText w:val="%7."/>
      <w:lvlJc w:val="left"/>
      <w:pPr>
        <w:ind w:left="6099" w:hanging="360"/>
      </w:pPr>
    </w:lvl>
    <w:lvl w:ilvl="7" w:tplc="040C0019" w:tentative="1">
      <w:start w:val="1"/>
      <w:numFmt w:val="lowerLetter"/>
      <w:lvlText w:val="%8."/>
      <w:lvlJc w:val="left"/>
      <w:pPr>
        <w:ind w:left="6819" w:hanging="360"/>
      </w:pPr>
    </w:lvl>
    <w:lvl w:ilvl="8" w:tplc="040C001B" w:tentative="1">
      <w:start w:val="1"/>
      <w:numFmt w:val="lowerRoman"/>
      <w:lvlText w:val="%9."/>
      <w:lvlJc w:val="right"/>
      <w:pPr>
        <w:ind w:left="7539" w:hanging="180"/>
      </w:pPr>
    </w:lvl>
  </w:abstractNum>
  <w:abstractNum w:abstractNumId="11">
    <w:nsid w:val="27E52FCE"/>
    <w:multiLevelType w:val="hybridMultilevel"/>
    <w:tmpl w:val="54661ED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nsid w:val="2D5A10F3"/>
    <w:multiLevelType w:val="hybridMultilevel"/>
    <w:tmpl w:val="2B002E62"/>
    <w:lvl w:ilvl="0" w:tplc="F4BC7D9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2E053E5B"/>
    <w:multiLevelType w:val="multilevel"/>
    <w:tmpl w:val="E9F29826"/>
    <w:styleLink w:val="Style1"/>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8437F19"/>
    <w:multiLevelType w:val="hybridMultilevel"/>
    <w:tmpl w:val="69DEC7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E526AA7"/>
    <w:multiLevelType w:val="multilevel"/>
    <w:tmpl w:val="AD38F2B2"/>
    <w:lvl w:ilvl="0">
      <w:start w:val="2"/>
      <w:numFmt w:val="upperRoman"/>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10D31F8"/>
    <w:multiLevelType w:val="hybridMultilevel"/>
    <w:tmpl w:val="89A61664"/>
    <w:lvl w:ilvl="0" w:tplc="5FACA354">
      <w:start w:val="89"/>
      <w:numFmt w:val="bullet"/>
      <w:lvlText w:val="-"/>
      <w:lvlJc w:val="left"/>
      <w:pPr>
        <w:ind w:left="742" w:hanging="360"/>
      </w:pPr>
      <w:rPr>
        <w:rFonts w:ascii="Verdana" w:eastAsia="Times New Roman" w:hAnsi="Verdana" w:cs="Tahoma" w:hint="default"/>
      </w:rPr>
    </w:lvl>
    <w:lvl w:ilvl="1" w:tplc="080C0003" w:tentative="1">
      <w:start w:val="1"/>
      <w:numFmt w:val="bullet"/>
      <w:lvlText w:val="o"/>
      <w:lvlJc w:val="left"/>
      <w:pPr>
        <w:ind w:left="1462" w:hanging="360"/>
      </w:pPr>
      <w:rPr>
        <w:rFonts w:ascii="Courier New" w:hAnsi="Courier New" w:cs="Courier New" w:hint="default"/>
      </w:rPr>
    </w:lvl>
    <w:lvl w:ilvl="2" w:tplc="080C0005" w:tentative="1">
      <w:start w:val="1"/>
      <w:numFmt w:val="bullet"/>
      <w:lvlText w:val=""/>
      <w:lvlJc w:val="left"/>
      <w:pPr>
        <w:ind w:left="2182" w:hanging="360"/>
      </w:pPr>
      <w:rPr>
        <w:rFonts w:ascii="Wingdings" w:hAnsi="Wingdings" w:hint="default"/>
      </w:rPr>
    </w:lvl>
    <w:lvl w:ilvl="3" w:tplc="080C0001" w:tentative="1">
      <w:start w:val="1"/>
      <w:numFmt w:val="bullet"/>
      <w:lvlText w:val=""/>
      <w:lvlJc w:val="left"/>
      <w:pPr>
        <w:ind w:left="2902" w:hanging="360"/>
      </w:pPr>
      <w:rPr>
        <w:rFonts w:ascii="Symbol" w:hAnsi="Symbol" w:hint="default"/>
      </w:rPr>
    </w:lvl>
    <w:lvl w:ilvl="4" w:tplc="080C0003" w:tentative="1">
      <w:start w:val="1"/>
      <w:numFmt w:val="bullet"/>
      <w:lvlText w:val="o"/>
      <w:lvlJc w:val="left"/>
      <w:pPr>
        <w:ind w:left="3622" w:hanging="360"/>
      </w:pPr>
      <w:rPr>
        <w:rFonts w:ascii="Courier New" w:hAnsi="Courier New" w:cs="Courier New" w:hint="default"/>
      </w:rPr>
    </w:lvl>
    <w:lvl w:ilvl="5" w:tplc="080C0005" w:tentative="1">
      <w:start w:val="1"/>
      <w:numFmt w:val="bullet"/>
      <w:lvlText w:val=""/>
      <w:lvlJc w:val="left"/>
      <w:pPr>
        <w:ind w:left="4342" w:hanging="360"/>
      </w:pPr>
      <w:rPr>
        <w:rFonts w:ascii="Wingdings" w:hAnsi="Wingdings" w:hint="default"/>
      </w:rPr>
    </w:lvl>
    <w:lvl w:ilvl="6" w:tplc="080C0001" w:tentative="1">
      <w:start w:val="1"/>
      <w:numFmt w:val="bullet"/>
      <w:lvlText w:val=""/>
      <w:lvlJc w:val="left"/>
      <w:pPr>
        <w:ind w:left="5062" w:hanging="360"/>
      </w:pPr>
      <w:rPr>
        <w:rFonts w:ascii="Symbol" w:hAnsi="Symbol" w:hint="default"/>
      </w:rPr>
    </w:lvl>
    <w:lvl w:ilvl="7" w:tplc="080C0003" w:tentative="1">
      <w:start w:val="1"/>
      <w:numFmt w:val="bullet"/>
      <w:lvlText w:val="o"/>
      <w:lvlJc w:val="left"/>
      <w:pPr>
        <w:ind w:left="5782" w:hanging="360"/>
      </w:pPr>
      <w:rPr>
        <w:rFonts w:ascii="Courier New" w:hAnsi="Courier New" w:cs="Courier New" w:hint="default"/>
      </w:rPr>
    </w:lvl>
    <w:lvl w:ilvl="8" w:tplc="080C0005" w:tentative="1">
      <w:start w:val="1"/>
      <w:numFmt w:val="bullet"/>
      <w:lvlText w:val=""/>
      <w:lvlJc w:val="left"/>
      <w:pPr>
        <w:ind w:left="6502" w:hanging="360"/>
      </w:pPr>
      <w:rPr>
        <w:rFonts w:ascii="Wingdings" w:hAnsi="Wingdings" w:hint="default"/>
      </w:rPr>
    </w:lvl>
  </w:abstractNum>
  <w:abstractNum w:abstractNumId="17">
    <w:nsid w:val="524F618D"/>
    <w:multiLevelType w:val="hybridMultilevel"/>
    <w:tmpl w:val="3CDAF8D4"/>
    <w:lvl w:ilvl="0" w:tplc="5FACA354">
      <w:start w:val="89"/>
      <w:numFmt w:val="bullet"/>
      <w:lvlText w:val="-"/>
      <w:lvlJc w:val="left"/>
      <w:pPr>
        <w:ind w:left="720" w:hanging="360"/>
      </w:pPr>
      <w:rPr>
        <w:rFonts w:ascii="Verdana" w:eastAsia="Times New Roman" w:hAnsi="Verdan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2A008BE"/>
    <w:multiLevelType w:val="hybridMultilevel"/>
    <w:tmpl w:val="3B4C4504"/>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7F5091E"/>
    <w:multiLevelType w:val="hybridMultilevel"/>
    <w:tmpl w:val="DB2A8F40"/>
    <w:lvl w:ilvl="0" w:tplc="A864944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1364D2"/>
    <w:multiLevelType w:val="hybridMultilevel"/>
    <w:tmpl w:val="84F410B2"/>
    <w:lvl w:ilvl="0" w:tplc="5FACA354">
      <w:start w:val="89"/>
      <w:numFmt w:val="bullet"/>
      <w:lvlText w:val="-"/>
      <w:lvlJc w:val="left"/>
      <w:pPr>
        <w:ind w:left="644" w:hanging="360"/>
      </w:pPr>
      <w:rPr>
        <w:rFonts w:ascii="Verdana" w:eastAsia="Times New Roman" w:hAnsi="Verdana" w:cs="Tahoma"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1">
    <w:nsid w:val="5BDF39A2"/>
    <w:multiLevelType w:val="hybridMultilevel"/>
    <w:tmpl w:val="8162330E"/>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EA34E1A"/>
    <w:multiLevelType w:val="multilevel"/>
    <w:tmpl w:val="ADF4F83A"/>
    <w:lvl w:ilvl="0">
      <w:start w:val="1"/>
      <w:numFmt w:val="decimal"/>
      <w:lvlText w:val="%1."/>
      <w:lvlJc w:val="left"/>
      <w:pPr>
        <w:ind w:left="475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nsid w:val="64AE2525"/>
    <w:multiLevelType w:val="hybridMultilevel"/>
    <w:tmpl w:val="8CDF95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4DF188F"/>
    <w:multiLevelType w:val="hybridMultilevel"/>
    <w:tmpl w:val="B3E861BC"/>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25">
    <w:nsid w:val="68043970"/>
    <w:multiLevelType w:val="hybridMultilevel"/>
    <w:tmpl w:val="2264B964"/>
    <w:lvl w:ilvl="0" w:tplc="C3D2FCC8">
      <w:start w:val="1"/>
      <w:numFmt w:val="decimal"/>
      <w:lvlText w:val="(%1)"/>
      <w:lvlJc w:val="left"/>
      <w:pPr>
        <w:ind w:left="1637"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26">
    <w:nsid w:val="696178BA"/>
    <w:multiLevelType w:val="hybridMultilevel"/>
    <w:tmpl w:val="7F22A514"/>
    <w:lvl w:ilvl="0" w:tplc="249A9624">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9E26371"/>
    <w:multiLevelType w:val="multilevel"/>
    <w:tmpl w:val="87A40AB4"/>
    <w:lvl w:ilvl="0">
      <w:start w:val="3"/>
      <w:numFmt w:val="decimal"/>
      <w:lvlText w:val="%1."/>
      <w:lvlJc w:val="center"/>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6A9C208F"/>
    <w:multiLevelType w:val="hybridMultilevel"/>
    <w:tmpl w:val="DBAE3446"/>
    <w:lvl w:ilvl="0" w:tplc="D47AFCA8">
      <w:start w:val="5"/>
      <w:numFmt w:val="bullet"/>
      <w:lvlText w:val="-"/>
      <w:lvlJc w:val="left"/>
      <w:pPr>
        <w:ind w:left="720" w:hanging="360"/>
      </w:pPr>
      <w:rPr>
        <w:rFonts w:ascii="Verdana" w:eastAsiaTheme="minorHAnsi" w:hAnsi="Verdana" w:cstheme="minorBidi" w:hint="default"/>
      </w:rPr>
    </w:lvl>
    <w:lvl w:ilvl="1" w:tplc="ED043EC6">
      <w:start w:val="1"/>
      <w:numFmt w:val="lowerRoman"/>
      <w:lvlText w:val="%2)"/>
      <w:lvlJc w:val="left"/>
      <w:pPr>
        <w:ind w:left="1440" w:hanging="360"/>
      </w:pPr>
      <w:rPr>
        <w:rFonts w:ascii="Verdana" w:eastAsiaTheme="minorHAnsi" w:hAnsi="Verdana" w:cstheme="minorBidi"/>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2FB68F8"/>
    <w:multiLevelType w:val="hybridMultilevel"/>
    <w:tmpl w:val="88105F9A"/>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759C3E75"/>
    <w:multiLevelType w:val="hybridMultilevel"/>
    <w:tmpl w:val="C220F3E6"/>
    <w:lvl w:ilvl="0" w:tplc="040C0009">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1">
    <w:nsid w:val="7AEC7B04"/>
    <w:multiLevelType w:val="hybridMultilevel"/>
    <w:tmpl w:val="14C08C9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2">
    <w:nsid w:val="7C02317C"/>
    <w:multiLevelType w:val="hybridMultilevel"/>
    <w:tmpl w:val="F93C06BE"/>
    <w:lvl w:ilvl="0" w:tplc="5FACA354">
      <w:start w:val="89"/>
      <w:numFmt w:val="bullet"/>
      <w:lvlText w:val="-"/>
      <w:lvlJc w:val="left"/>
      <w:pPr>
        <w:ind w:left="3413" w:hanging="360"/>
      </w:pPr>
      <w:rPr>
        <w:rFonts w:ascii="Verdana" w:eastAsia="Times New Roman" w:hAnsi="Verdana" w:cs="Tahoma" w:hint="default"/>
      </w:rPr>
    </w:lvl>
    <w:lvl w:ilvl="1" w:tplc="040C0003" w:tentative="1">
      <w:start w:val="1"/>
      <w:numFmt w:val="bullet"/>
      <w:lvlText w:val="o"/>
      <w:lvlJc w:val="left"/>
      <w:pPr>
        <w:ind w:left="4133" w:hanging="360"/>
      </w:pPr>
      <w:rPr>
        <w:rFonts w:ascii="Courier New" w:hAnsi="Courier New" w:cs="Courier New" w:hint="default"/>
      </w:rPr>
    </w:lvl>
    <w:lvl w:ilvl="2" w:tplc="040C0005" w:tentative="1">
      <w:start w:val="1"/>
      <w:numFmt w:val="bullet"/>
      <w:lvlText w:val=""/>
      <w:lvlJc w:val="left"/>
      <w:pPr>
        <w:ind w:left="4853" w:hanging="360"/>
      </w:pPr>
      <w:rPr>
        <w:rFonts w:ascii="Wingdings" w:hAnsi="Wingdings" w:hint="default"/>
      </w:rPr>
    </w:lvl>
    <w:lvl w:ilvl="3" w:tplc="040C0001" w:tentative="1">
      <w:start w:val="1"/>
      <w:numFmt w:val="bullet"/>
      <w:lvlText w:val=""/>
      <w:lvlJc w:val="left"/>
      <w:pPr>
        <w:ind w:left="5573" w:hanging="360"/>
      </w:pPr>
      <w:rPr>
        <w:rFonts w:ascii="Symbol" w:hAnsi="Symbol" w:hint="default"/>
      </w:rPr>
    </w:lvl>
    <w:lvl w:ilvl="4" w:tplc="040C0003" w:tentative="1">
      <w:start w:val="1"/>
      <w:numFmt w:val="bullet"/>
      <w:lvlText w:val="o"/>
      <w:lvlJc w:val="left"/>
      <w:pPr>
        <w:ind w:left="6293" w:hanging="360"/>
      </w:pPr>
      <w:rPr>
        <w:rFonts w:ascii="Courier New" w:hAnsi="Courier New" w:cs="Courier New" w:hint="default"/>
      </w:rPr>
    </w:lvl>
    <w:lvl w:ilvl="5" w:tplc="040C0005" w:tentative="1">
      <w:start w:val="1"/>
      <w:numFmt w:val="bullet"/>
      <w:lvlText w:val=""/>
      <w:lvlJc w:val="left"/>
      <w:pPr>
        <w:ind w:left="7013" w:hanging="360"/>
      </w:pPr>
      <w:rPr>
        <w:rFonts w:ascii="Wingdings" w:hAnsi="Wingdings" w:hint="default"/>
      </w:rPr>
    </w:lvl>
    <w:lvl w:ilvl="6" w:tplc="040C0001" w:tentative="1">
      <w:start w:val="1"/>
      <w:numFmt w:val="bullet"/>
      <w:lvlText w:val=""/>
      <w:lvlJc w:val="left"/>
      <w:pPr>
        <w:ind w:left="7733" w:hanging="360"/>
      </w:pPr>
      <w:rPr>
        <w:rFonts w:ascii="Symbol" w:hAnsi="Symbol" w:hint="default"/>
      </w:rPr>
    </w:lvl>
    <w:lvl w:ilvl="7" w:tplc="040C0003" w:tentative="1">
      <w:start w:val="1"/>
      <w:numFmt w:val="bullet"/>
      <w:lvlText w:val="o"/>
      <w:lvlJc w:val="left"/>
      <w:pPr>
        <w:ind w:left="8453" w:hanging="360"/>
      </w:pPr>
      <w:rPr>
        <w:rFonts w:ascii="Courier New" w:hAnsi="Courier New" w:cs="Courier New" w:hint="default"/>
      </w:rPr>
    </w:lvl>
    <w:lvl w:ilvl="8" w:tplc="040C0005" w:tentative="1">
      <w:start w:val="1"/>
      <w:numFmt w:val="bullet"/>
      <w:lvlText w:val=""/>
      <w:lvlJc w:val="left"/>
      <w:pPr>
        <w:ind w:left="9173" w:hanging="360"/>
      </w:pPr>
      <w:rPr>
        <w:rFonts w:ascii="Wingdings" w:hAnsi="Wingdings" w:hint="default"/>
      </w:rPr>
    </w:lvl>
  </w:abstractNum>
  <w:num w:numId="1">
    <w:abstractNumId w:val="25"/>
  </w:num>
  <w:num w:numId="2">
    <w:abstractNumId w:val="22"/>
  </w:num>
  <w:num w:numId="3">
    <w:abstractNumId w:val="23"/>
  </w:num>
  <w:num w:numId="4">
    <w:abstractNumId w:val="16"/>
  </w:num>
  <w:num w:numId="5">
    <w:abstractNumId w:val="29"/>
  </w:num>
  <w:num w:numId="6">
    <w:abstractNumId w:val="14"/>
  </w:num>
  <w:num w:numId="7">
    <w:abstractNumId w:val="5"/>
  </w:num>
  <w:num w:numId="8">
    <w:abstractNumId w:val="18"/>
  </w:num>
  <w:num w:numId="9">
    <w:abstractNumId w:val="8"/>
  </w:num>
  <w:num w:numId="10">
    <w:abstractNumId w:val="11"/>
  </w:num>
  <w:num w:numId="11">
    <w:abstractNumId w:val="30"/>
  </w:num>
  <w:num w:numId="12">
    <w:abstractNumId w:val="7"/>
  </w:num>
  <w:num w:numId="13">
    <w:abstractNumId w:val="26"/>
  </w:num>
  <w:num w:numId="14">
    <w:abstractNumId w:val="4"/>
  </w:num>
  <w:num w:numId="15">
    <w:abstractNumId w:val="2"/>
  </w:num>
  <w:num w:numId="16">
    <w:abstractNumId w:val="15"/>
  </w:num>
  <w:num w:numId="17">
    <w:abstractNumId w:val="13"/>
  </w:num>
  <w:num w:numId="18">
    <w:abstractNumId w:val="27"/>
  </w:num>
  <w:num w:numId="19">
    <w:abstractNumId w:val="6"/>
  </w:num>
  <w:num w:numId="20">
    <w:abstractNumId w:val="0"/>
  </w:num>
  <w:num w:numId="21">
    <w:abstractNumId w:val="3"/>
  </w:num>
  <w:num w:numId="22">
    <w:abstractNumId w:val="1"/>
  </w:num>
  <w:num w:numId="23">
    <w:abstractNumId w:val="28"/>
  </w:num>
  <w:num w:numId="24">
    <w:abstractNumId w:val="19"/>
  </w:num>
  <w:num w:numId="25">
    <w:abstractNumId w:val="20"/>
  </w:num>
  <w:num w:numId="26">
    <w:abstractNumId w:val="12"/>
  </w:num>
  <w:num w:numId="27">
    <w:abstractNumId w:val="21"/>
  </w:num>
  <w:num w:numId="28">
    <w:abstractNumId w:val="31"/>
  </w:num>
  <w:num w:numId="29">
    <w:abstractNumId w:val="9"/>
  </w:num>
  <w:num w:numId="30">
    <w:abstractNumId w:val="10"/>
  </w:num>
  <w:num w:numId="31">
    <w:abstractNumId w:val="17"/>
  </w:num>
  <w:num w:numId="32">
    <w:abstractNumId w:val="32"/>
  </w:num>
  <w:num w:numId="33">
    <w:abstractNumId w:val="2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E448B5"/>
    <w:rsid w:val="0000703A"/>
    <w:rsid w:val="00041BDB"/>
    <w:rsid w:val="00075830"/>
    <w:rsid w:val="000C159C"/>
    <w:rsid w:val="00107E68"/>
    <w:rsid w:val="00125629"/>
    <w:rsid w:val="00151366"/>
    <w:rsid w:val="001608E3"/>
    <w:rsid w:val="001862CB"/>
    <w:rsid w:val="001B004C"/>
    <w:rsid w:val="001C2230"/>
    <w:rsid w:val="001D6149"/>
    <w:rsid w:val="001E577A"/>
    <w:rsid w:val="001F1FAC"/>
    <w:rsid w:val="0020087E"/>
    <w:rsid w:val="00217302"/>
    <w:rsid w:val="002849D5"/>
    <w:rsid w:val="00295C23"/>
    <w:rsid w:val="002A3B69"/>
    <w:rsid w:val="002C2070"/>
    <w:rsid w:val="00304AFF"/>
    <w:rsid w:val="00312E3F"/>
    <w:rsid w:val="00312EF2"/>
    <w:rsid w:val="00316753"/>
    <w:rsid w:val="003813A2"/>
    <w:rsid w:val="00406336"/>
    <w:rsid w:val="004163AC"/>
    <w:rsid w:val="0042077B"/>
    <w:rsid w:val="00431238"/>
    <w:rsid w:val="00455FA4"/>
    <w:rsid w:val="004616FD"/>
    <w:rsid w:val="0046396F"/>
    <w:rsid w:val="004D592E"/>
    <w:rsid w:val="004D7D45"/>
    <w:rsid w:val="0055721A"/>
    <w:rsid w:val="00560F2F"/>
    <w:rsid w:val="00562159"/>
    <w:rsid w:val="00583303"/>
    <w:rsid w:val="00687FA2"/>
    <w:rsid w:val="006B1C0A"/>
    <w:rsid w:val="00710B34"/>
    <w:rsid w:val="00743C00"/>
    <w:rsid w:val="00793026"/>
    <w:rsid w:val="007A49E3"/>
    <w:rsid w:val="007A642A"/>
    <w:rsid w:val="008366DB"/>
    <w:rsid w:val="0085750C"/>
    <w:rsid w:val="00866F1D"/>
    <w:rsid w:val="0086721C"/>
    <w:rsid w:val="008C3909"/>
    <w:rsid w:val="008E20AF"/>
    <w:rsid w:val="009A6C40"/>
    <w:rsid w:val="009E03E6"/>
    <w:rsid w:val="009E6BE8"/>
    <w:rsid w:val="00A2760F"/>
    <w:rsid w:val="00A414A2"/>
    <w:rsid w:val="00AA456E"/>
    <w:rsid w:val="00B0014A"/>
    <w:rsid w:val="00B050D4"/>
    <w:rsid w:val="00B22F63"/>
    <w:rsid w:val="00B2729F"/>
    <w:rsid w:val="00C172AF"/>
    <w:rsid w:val="00C662A2"/>
    <w:rsid w:val="00C7360A"/>
    <w:rsid w:val="00C96F3B"/>
    <w:rsid w:val="00CA61F9"/>
    <w:rsid w:val="00CB4FDB"/>
    <w:rsid w:val="00CD34F1"/>
    <w:rsid w:val="00CD590B"/>
    <w:rsid w:val="00D85EE5"/>
    <w:rsid w:val="00DB4D92"/>
    <w:rsid w:val="00DB6273"/>
    <w:rsid w:val="00DD4417"/>
    <w:rsid w:val="00E226BC"/>
    <w:rsid w:val="00E314B7"/>
    <w:rsid w:val="00E448B5"/>
    <w:rsid w:val="00E50BD0"/>
    <w:rsid w:val="00E81769"/>
    <w:rsid w:val="00ED0D4C"/>
    <w:rsid w:val="00F434B0"/>
    <w:rsid w:val="00F47386"/>
    <w:rsid w:val="00F71051"/>
    <w:rsid w:val="00FA7C75"/>
    <w:rsid w:val="00FA7F04"/>
    <w:rsid w:val="00FC65EC"/>
    <w:rsid w:val="00FE7EB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8B5"/>
    <w:rPr>
      <w:rFonts w:ascii="Calibri" w:eastAsia="Calibri" w:hAnsi="Calibri" w:cs="Times New Roman"/>
      <w:lang w:val="fr-BE"/>
    </w:rPr>
  </w:style>
  <w:style w:type="paragraph" w:styleId="Titre1">
    <w:name w:val="heading 1"/>
    <w:basedOn w:val="Normal"/>
    <w:next w:val="Normal"/>
    <w:link w:val="Titre1Car"/>
    <w:uiPriority w:val="9"/>
    <w:qFormat/>
    <w:rsid w:val="00E448B5"/>
    <w:pPr>
      <w:keepNext/>
      <w:keepLines/>
      <w:spacing w:before="480" w:after="0" w:line="276" w:lineRule="auto"/>
      <w:outlineLvl w:val="0"/>
    </w:pPr>
    <w:rPr>
      <w:rFonts w:ascii="Cambria" w:eastAsia="Times New Roman" w:hAnsi="Cambria"/>
      <w:b/>
      <w:bCs/>
      <w:color w:val="365F91"/>
      <w:sz w:val="28"/>
      <w:szCs w:val="28"/>
      <w:lang w:val="fr-FR"/>
    </w:rPr>
  </w:style>
  <w:style w:type="paragraph" w:styleId="Titre2">
    <w:name w:val="heading 2"/>
    <w:basedOn w:val="Normal"/>
    <w:next w:val="Normal"/>
    <w:link w:val="Titre2Car"/>
    <w:uiPriority w:val="9"/>
    <w:unhideWhenUsed/>
    <w:qFormat/>
    <w:rsid w:val="00E448B5"/>
    <w:pPr>
      <w:keepNext/>
      <w:keepLines/>
      <w:spacing w:before="200" w:after="0" w:line="276" w:lineRule="auto"/>
      <w:ind w:left="578" w:hanging="578"/>
      <w:outlineLvl w:val="1"/>
    </w:pPr>
    <w:rPr>
      <w:rFonts w:ascii="Myriad Pro SemiCond" w:eastAsia="Times New Roman" w:hAnsi="Myriad Pro SemiCond"/>
      <w:b/>
      <w:bCs/>
      <w:color w:val="4F81BD"/>
      <w:sz w:val="26"/>
      <w:szCs w:val="26"/>
      <w:lang w:val="fr-FR" w:eastAsia="fr-FR" w:bidi="fr-FR"/>
    </w:rPr>
  </w:style>
  <w:style w:type="paragraph" w:styleId="Titre3">
    <w:name w:val="heading 3"/>
    <w:basedOn w:val="Normal"/>
    <w:next w:val="Normal"/>
    <w:link w:val="Titre3Car"/>
    <w:uiPriority w:val="9"/>
    <w:unhideWhenUsed/>
    <w:qFormat/>
    <w:rsid w:val="00E448B5"/>
    <w:pPr>
      <w:keepNext/>
      <w:keepLines/>
      <w:spacing w:before="200" w:after="0" w:line="276" w:lineRule="auto"/>
      <w:ind w:left="720" w:hanging="720"/>
      <w:jc w:val="both"/>
      <w:outlineLvl w:val="2"/>
    </w:pPr>
    <w:rPr>
      <w:rFonts w:ascii="Myriad Pro SemiCond" w:eastAsia="Times New Roman" w:hAnsi="Myriad Pro SemiCond"/>
      <w:b/>
      <w:bCs/>
      <w:color w:val="4F81BD"/>
      <w:lang w:val="fr-FR" w:eastAsia="fr-FR" w:bidi="fr-FR"/>
    </w:rPr>
  </w:style>
  <w:style w:type="paragraph" w:styleId="Titre4">
    <w:name w:val="heading 4"/>
    <w:basedOn w:val="Normal"/>
    <w:next w:val="Normal"/>
    <w:link w:val="Titre4Car"/>
    <w:uiPriority w:val="9"/>
    <w:semiHidden/>
    <w:unhideWhenUsed/>
    <w:qFormat/>
    <w:rsid w:val="00E448B5"/>
    <w:pPr>
      <w:keepNext/>
      <w:keepLines/>
      <w:spacing w:before="200" w:after="0" w:line="276" w:lineRule="auto"/>
      <w:ind w:left="864" w:hanging="864"/>
      <w:jc w:val="both"/>
      <w:outlineLvl w:val="3"/>
    </w:pPr>
    <w:rPr>
      <w:rFonts w:ascii="Cambria" w:eastAsia="Times New Roman" w:hAnsi="Cambria"/>
      <w:b/>
      <w:bCs/>
      <w:i/>
      <w:iCs/>
      <w:color w:val="4F81BD"/>
      <w:lang w:val="fr-FR" w:eastAsia="fr-FR" w:bidi="fr-FR"/>
    </w:rPr>
  </w:style>
  <w:style w:type="paragraph" w:styleId="Titre5">
    <w:name w:val="heading 5"/>
    <w:basedOn w:val="Normal"/>
    <w:next w:val="Normal"/>
    <w:link w:val="Titre5Car"/>
    <w:uiPriority w:val="9"/>
    <w:semiHidden/>
    <w:unhideWhenUsed/>
    <w:qFormat/>
    <w:rsid w:val="00E448B5"/>
    <w:pPr>
      <w:keepNext/>
      <w:keepLines/>
      <w:spacing w:before="200" w:after="0" w:line="276" w:lineRule="auto"/>
      <w:ind w:left="1008" w:hanging="1008"/>
      <w:jc w:val="both"/>
      <w:outlineLvl w:val="4"/>
    </w:pPr>
    <w:rPr>
      <w:rFonts w:ascii="Cambria" w:eastAsia="Times New Roman" w:hAnsi="Cambria"/>
      <w:color w:val="243F60"/>
      <w:lang w:val="fr-FR" w:eastAsia="fr-FR" w:bidi="fr-FR"/>
    </w:rPr>
  </w:style>
  <w:style w:type="paragraph" w:styleId="Titre6">
    <w:name w:val="heading 6"/>
    <w:basedOn w:val="Normal"/>
    <w:next w:val="Normal"/>
    <w:link w:val="Titre6Car"/>
    <w:uiPriority w:val="9"/>
    <w:semiHidden/>
    <w:unhideWhenUsed/>
    <w:qFormat/>
    <w:rsid w:val="00E448B5"/>
    <w:pPr>
      <w:keepNext/>
      <w:keepLines/>
      <w:spacing w:before="200" w:after="0" w:line="276" w:lineRule="auto"/>
      <w:ind w:left="1152" w:hanging="1152"/>
      <w:jc w:val="both"/>
      <w:outlineLvl w:val="5"/>
    </w:pPr>
    <w:rPr>
      <w:rFonts w:ascii="Cambria" w:eastAsia="Times New Roman" w:hAnsi="Cambria"/>
      <w:i/>
      <w:iCs/>
      <w:color w:val="243F60"/>
      <w:lang w:val="fr-FR" w:eastAsia="fr-FR" w:bidi="fr-FR"/>
    </w:rPr>
  </w:style>
  <w:style w:type="paragraph" w:styleId="Titre7">
    <w:name w:val="heading 7"/>
    <w:basedOn w:val="Normal"/>
    <w:next w:val="Normal"/>
    <w:link w:val="Titre7Car"/>
    <w:uiPriority w:val="9"/>
    <w:semiHidden/>
    <w:unhideWhenUsed/>
    <w:qFormat/>
    <w:rsid w:val="00E448B5"/>
    <w:pPr>
      <w:keepNext/>
      <w:keepLines/>
      <w:spacing w:before="200" w:after="0" w:line="276" w:lineRule="auto"/>
      <w:ind w:left="1296" w:hanging="1296"/>
      <w:jc w:val="both"/>
      <w:outlineLvl w:val="6"/>
    </w:pPr>
    <w:rPr>
      <w:rFonts w:ascii="Cambria" w:eastAsia="Times New Roman" w:hAnsi="Cambria"/>
      <w:i/>
      <w:iCs/>
      <w:color w:val="404040"/>
      <w:lang w:val="fr-FR" w:eastAsia="fr-FR" w:bidi="fr-FR"/>
    </w:rPr>
  </w:style>
  <w:style w:type="paragraph" w:styleId="Titre8">
    <w:name w:val="heading 8"/>
    <w:basedOn w:val="Normal"/>
    <w:next w:val="Normal"/>
    <w:link w:val="Titre8Car"/>
    <w:uiPriority w:val="9"/>
    <w:semiHidden/>
    <w:unhideWhenUsed/>
    <w:qFormat/>
    <w:rsid w:val="00E448B5"/>
    <w:pPr>
      <w:keepNext/>
      <w:keepLines/>
      <w:spacing w:before="200" w:after="0" w:line="276" w:lineRule="auto"/>
      <w:ind w:left="1440" w:hanging="1440"/>
      <w:jc w:val="both"/>
      <w:outlineLvl w:val="7"/>
    </w:pPr>
    <w:rPr>
      <w:rFonts w:ascii="Cambria" w:eastAsia="Times New Roman" w:hAnsi="Cambria"/>
      <w:color w:val="4F81BD"/>
      <w:sz w:val="20"/>
      <w:szCs w:val="20"/>
      <w:lang w:val="fr-FR" w:eastAsia="fr-FR" w:bidi="fr-FR"/>
    </w:rPr>
  </w:style>
  <w:style w:type="paragraph" w:styleId="Titre9">
    <w:name w:val="heading 9"/>
    <w:basedOn w:val="Normal"/>
    <w:next w:val="Normal"/>
    <w:link w:val="Titre9Car"/>
    <w:uiPriority w:val="9"/>
    <w:semiHidden/>
    <w:unhideWhenUsed/>
    <w:qFormat/>
    <w:rsid w:val="00E448B5"/>
    <w:pPr>
      <w:keepNext/>
      <w:keepLines/>
      <w:spacing w:before="200" w:after="0" w:line="276" w:lineRule="auto"/>
      <w:ind w:left="1584" w:hanging="1584"/>
      <w:jc w:val="both"/>
      <w:outlineLvl w:val="8"/>
    </w:pPr>
    <w:rPr>
      <w:rFonts w:ascii="Cambria" w:eastAsia="Times New Roman" w:hAnsi="Cambria"/>
      <w:i/>
      <w:iCs/>
      <w:color w:val="404040"/>
      <w:sz w:val="20"/>
      <w:szCs w:val="20"/>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48B5"/>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E448B5"/>
    <w:rPr>
      <w:rFonts w:ascii="Myriad Pro SemiCond" w:eastAsia="Times New Roman" w:hAnsi="Myriad Pro SemiCond" w:cs="Times New Roman"/>
      <w:b/>
      <w:bCs/>
      <w:color w:val="4F81BD"/>
      <w:sz w:val="26"/>
      <w:szCs w:val="26"/>
      <w:lang w:eastAsia="fr-FR" w:bidi="fr-FR"/>
    </w:rPr>
  </w:style>
  <w:style w:type="character" w:customStyle="1" w:styleId="Titre3Car">
    <w:name w:val="Titre 3 Car"/>
    <w:basedOn w:val="Policepardfaut"/>
    <w:link w:val="Titre3"/>
    <w:uiPriority w:val="9"/>
    <w:rsid w:val="00E448B5"/>
    <w:rPr>
      <w:rFonts w:ascii="Myriad Pro SemiCond" w:eastAsia="Times New Roman" w:hAnsi="Myriad Pro SemiCond" w:cs="Times New Roman"/>
      <w:b/>
      <w:bCs/>
      <w:color w:val="4F81BD"/>
      <w:lang w:eastAsia="fr-FR" w:bidi="fr-FR"/>
    </w:rPr>
  </w:style>
  <w:style w:type="character" w:customStyle="1" w:styleId="Titre4Car">
    <w:name w:val="Titre 4 Car"/>
    <w:basedOn w:val="Policepardfaut"/>
    <w:link w:val="Titre4"/>
    <w:uiPriority w:val="9"/>
    <w:semiHidden/>
    <w:rsid w:val="00E448B5"/>
    <w:rPr>
      <w:rFonts w:ascii="Cambria" w:eastAsia="Times New Roman" w:hAnsi="Cambria" w:cs="Times New Roman"/>
      <w:b/>
      <w:bCs/>
      <w:i/>
      <w:iCs/>
      <w:color w:val="4F81BD"/>
      <w:lang w:eastAsia="fr-FR" w:bidi="fr-FR"/>
    </w:rPr>
  </w:style>
  <w:style w:type="character" w:customStyle="1" w:styleId="Titre5Car">
    <w:name w:val="Titre 5 Car"/>
    <w:basedOn w:val="Policepardfaut"/>
    <w:link w:val="Titre5"/>
    <w:uiPriority w:val="9"/>
    <w:semiHidden/>
    <w:rsid w:val="00E448B5"/>
    <w:rPr>
      <w:rFonts w:ascii="Cambria" w:eastAsia="Times New Roman" w:hAnsi="Cambria" w:cs="Times New Roman"/>
      <w:color w:val="243F60"/>
      <w:lang w:eastAsia="fr-FR" w:bidi="fr-FR"/>
    </w:rPr>
  </w:style>
  <w:style w:type="character" w:customStyle="1" w:styleId="Titre6Car">
    <w:name w:val="Titre 6 Car"/>
    <w:basedOn w:val="Policepardfaut"/>
    <w:link w:val="Titre6"/>
    <w:uiPriority w:val="9"/>
    <w:semiHidden/>
    <w:rsid w:val="00E448B5"/>
    <w:rPr>
      <w:rFonts w:ascii="Cambria" w:eastAsia="Times New Roman" w:hAnsi="Cambria" w:cs="Times New Roman"/>
      <w:i/>
      <w:iCs/>
      <w:color w:val="243F60"/>
      <w:lang w:eastAsia="fr-FR" w:bidi="fr-FR"/>
    </w:rPr>
  </w:style>
  <w:style w:type="character" w:customStyle="1" w:styleId="Titre7Car">
    <w:name w:val="Titre 7 Car"/>
    <w:basedOn w:val="Policepardfaut"/>
    <w:link w:val="Titre7"/>
    <w:uiPriority w:val="9"/>
    <w:semiHidden/>
    <w:rsid w:val="00E448B5"/>
    <w:rPr>
      <w:rFonts w:ascii="Cambria" w:eastAsia="Times New Roman" w:hAnsi="Cambria" w:cs="Times New Roman"/>
      <w:i/>
      <w:iCs/>
      <w:color w:val="404040"/>
      <w:lang w:eastAsia="fr-FR" w:bidi="fr-FR"/>
    </w:rPr>
  </w:style>
  <w:style w:type="character" w:customStyle="1" w:styleId="Titre8Car">
    <w:name w:val="Titre 8 Car"/>
    <w:basedOn w:val="Policepardfaut"/>
    <w:link w:val="Titre8"/>
    <w:uiPriority w:val="9"/>
    <w:semiHidden/>
    <w:rsid w:val="00E448B5"/>
    <w:rPr>
      <w:rFonts w:ascii="Cambria" w:eastAsia="Times New Roman" w:hAnsi="Cambria" w:cs="Times New Roman"/>
      <w:color w:val="4F81BD"/>
      <w:sz w:val="20"/>
      <w:szCs w:val="20"/>
      <w:lang w:eastAsia="fr-FR" w:bidi="fr-FR"/>
    </w:rPr>
  </w:style>
  <w:style w:type="character" w:customStyle="1" w:styleId="Titre9Car">
    <w:name w:val="Titre 9 Car"/>
    <w:basedOn w:val="Policepardfaut"/>
    <w:link w:val="Titre9"/>
    <w:uiPriority w:val="9"/>
    <w:semiHidden/>
    <w:rsid w:val="00E448B5"/>
    <w:rPr>
      <w:rFonts w:ascii="Cambria" w:eastAsia="Times New Roman" w:hAnsi="Cambria" w:cs="Times New Roman"/>
      <w:i/>
      <w:iCs/>
      <w:color w:val="404040"/>
      <w:sz w:val="20"/>
      <w:szCs w:val="20"/>
      <w:lang w:eastAsia="fr-FR" w:bidi="fr-FR"/>
    </w:rPr>
  </w:style>
  <w:style w:type="paragraph" w:styleId="En-tte">
    <w:name w:val="header"/>
    <w:basedOn w:val="Normal"/>
    <w:link w:val="En-tteCar"/>
    <w:uiPriority w:val="99"/>
    <w:unhideWhenUsed/>
    <w:rsid w:val="00E448B5"/>
    <w:pPr>
      <w:tabs>
        <w:tab w:val="center" w:pos="4536"/>
        <w:tab w:val="right" w:pos="9072"/>
      </w:tabs>
      <w:spacing w:after="0" w:line="240" w:lineRule="auto"/>
    </w:pPr>
    <w:rPr>
      <w:sz w:val="20"/>
      <w:szCs w:val="20"/>
    </w:rPr>
  </w:style>
  <w:style w:type="character" w:customStyle="1" w:styleId="En-tteCar">
    <w:name w:val="En-tête Car"/>
    <w:basedOn w:val="Policepardfaut"/>
    <w:link w:val="En-tte"/>
    <w:uiPriority w:val="99"/>
    <w:rsid w:val="00E448B5"/>
    <w:rPr>
      <w:rFonts w:ascii="Calibri" w:eastAsia="Calibri" w:hAnsi="Calibri" w:cs="Times New Roman"/>
      <w:sz w:val="20"/>
      <w:szCs w:val="20"/>
      <w:lang w:val="fr-BE"/>
    </w:rPr>
  </w:style>
  <w:style w:type="paragraph" w:styleId="Paragraphedeliste">
    <w:name w:val="List Paragraph"/>
    <w:basedOn w:val="Normal"/>
    <w:link w:val="ParagraphedelisteCar"/>
    <w:uiPriority w:val="34"/>
    <w:qFormat/>
    <w:rsid w:val="00E448B5"/>
    <w:pPr>
      <w:ind w:left="720"/>
      <w:contextualSpacing/>
    </w:pPr>
  </w:style>
  <w:style w:type="character" w:customStyle="1" w:styleId="ParagraphedelisteCar">
    <w:name w:val="Paragraphe de liste Car"/>
    <w:link w:val="Paragraphedeliste"/>
    <w:uiPriority w:val="34"/>
    <w:locked/>
    <w:rsid w:val="00E448B5"/>
    <w:rPr>
      <w:rFonts w:ascii="Calibri" w:eastAsia="Calibri" w:hAnsi="Calibri" w:cs="Times New Roman"/>
      <w:lang w:val="fr-BE"/>
    </w:rPr>
  </w:style>
  <w:style w:type="character" w:styleId="Lienhypertexte">
    <w:name w:val="Hyperlink"/>
    <w:basedOn w:val="Policepardfaut"/>
    <w:uiPriority w:val="99"/>
    <w:unhideWhenUsed/>
    <w:rsid w:val="00E448B5"/>
    <w:rPr>
      <w:color w:val="0000FF"/>
      <w:u w:val="single"/>
    </w:rPr>
  </w:style>
  <w:style w:type="paragraph" w:styleId="Titre">
    <w:name w:val="Title"/>
    <w:basedOn w:val="Normal"/>
    <w:next w:val="Normal"/>
    <w:link w:val="TitreCar"/>
    <w:uiPriority w:val="10"/>
    <w:qFormat/>
    <w:rsid w:val="00E448B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E448B5"/>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E448B5"/>
    <w:pPr>
      <w:widowControl w:val="0"/>
      <w:autoSpaceDE w:val="0"/>
      <w:autoSpaceDN w:val="0"/>
      <w:adjustRightInd w:val="0"/>
      <w:spacing w:after="0" w:line="240" w:lineRule="auto"/>
    </w:pPr>
    <w:rPr>
      <w:rFonts w:ascii="VSHBE R+ Myriad Pro" w:eastAsia="Times New Roman" w:hAnsi="VSHBE R+ Myriad Pro" w:cs="VSHBE R+ Myriad Pro"/>
      <w:color w:val="000000"/>
      <w:sz w:val="24"/>
      <w:szCs w:val="24"/>
      <w:lang w:eastAsia="fr-FR"/>
    </w:rPr>
  </w:style>
  <w:style w:type="paragraph" w:customStyle="1" w:styleId="CM14">
    <w:name w:val="CM14"/>
    <w:basedOn w:val="Default"/>
    <w:next w:val="Default"/>
    <w:uiPriority w:val="99"/>
    <w:rsid w:val="00E448B5"/>
    <w:pPr>
      <w:spacing w:after="240"/>
    </w:pPr>
    <w:rPr>
      <w:rFonts w:cs="Times New Roman"/>
      <w:color w:val="auto"/>
    </w:rPr>
  </w:style>
  <w:style w:type="paragraph" w:styleId="Sous-titre">
    <w:name w:val="Subtitle"/>
    <w:basedOn w:val="Normal"/>
    <w:next w:val="Normal"/>
    <w:link w:val="Sous-titreCar"/>
    <w:uiPriority w:val="11"/>
    <w:qFormat/>
    <w:rsid w:val="00E448B5"/>
    <w:pPr>
      <w:shd w:val="clear" w:color="auto" w:fill="FFFFFF"/>
      <w:tabs>
        <w:tab w:val="left" w:pos="709"/>
      </w:tabs>
      <w:spacing w:before="240" w:after="240" w:line="240" w:lineRule="auto"/>
    </w:pPr>
    <w:rPr>
      <w:rFonts w:ascii="Myriad Pro" w:hAnsi="Myriad Pro"/>
      <w:b/>
      <w:u w:val="single"/>
      <w:lang w:val="fr-FR" w:eastAsia="fr-FR" w:bidi="fr-FR"/>
    </w:rPr>
  </w:style>
  <w:style w:type="character" w:customStyle="1" w:styleId="Sous-titreCar">
    <w:name w:val="Sous-titre Car"/>
    <w:basedOn w:val="Policepardfaut"/>
    <w:link w:val="Sous-titre"/>
    <w:uiPriority w:val="11"/>
    <w:rsid w:val="00E448B5"/>
    <w:rPr>
      <w:rFonts w:ascii="Myriad Pro" w:eastAsia="Calibri" w:hAnsi="Myriad Pro" w:cs="Times New Roman"/>
      <w:b/>
      <w:u w:val="single"/>
      <w:shd w:val="clear" w:color="auto" w:fill="FFFFFF"/>
      <w:lang w:eastAsia="fr-FR" w:bidi="fr-FR"/>
    </w:rPr>
  </w:style>
  <w:style w:type="character" w:customStyle="1" w:styleId="NotedebasdepageCar">
    <w:name w:val="Note de bas de page Car"/>
    <w:basedOn w:val="Policepardfaut"/>
    <w:link w:val="Notedebasdepage"/>
    <w:semiHidden/>
    <w:rsid w:val="00E448B5"/>
    <w:rPr>
      <w:rFonts w:ascii="Myriad Pro SemiCond" w:eastAsia="Times New Roman" w:hAnsi="Myriad Pro SemiCond" w:cs="Times New Roman"/>
      <w:sz w:val="20"/>
      <w:szCs w:val="20"/>
      <w:lang w:eastAsia="fr-FR" w:bidi="fr-FR"/>
    </w:rPr>
  </w:style>
  <w:style w:type="paragraph" w:styleId="Notedebasdepage">
    <w:name w:val="footnote text"/>
    <w:basedOn w:val="Normal"/>
    <w:link w:val="NotedebasdepageCar"/>
    <w:semiHidden/>
    <w:rsid w:val="00E448B5"/>
    <w:pPr>
      <w:spacing w:after="200" w:line="276" w:lineRule="auto"/>
      <w:jc w:val="both"/>
    </w:pPr>
    <w:rPr>
      <w:rFonts w:ascii="Myriad Pro SemiCond" w:eastAsia="Times New Roman" w:hAnsi="Myriad Pro SemiCond"/>
      <w:sz w:val="20"/>
      <w:szCs w:val="20"/>
      <w:lang w:val="fr-FR" w:eastAsia="fr-FR" w:bidi="fr-FR"/>
    </w:rPr>
  </w:style>
  <w:style w:type="character" w:customStyle="1" w:styleId="PieddepageCar">
    <w:name w:val="Pied de page Car"/>
    <w:basedOn w:val="Policepardfaut"/>
    <w:link w:val="Pieddepage"/>
    <w:uiPriority w:val="99"/>
    <w:rsid w:val="00E448B5"/>
    <w:rPr>
      <w:rFonts w:ascii="Calibri" w:eastAsia="Calibri" w:hAnsi="Calibri" w:cs="Times New Roman"/>
      <w:lang w:val="fr-BE"/>
    </w:rPr>
  </w:style>
  <w:style w:type="paragraph" w:styleId="Pieddepage">
    <w:name w:val="footer"/>
    <w:basedOn w:val="Normal"/>
    <w:link w:val="PieddepageCar"/>
    <w:uiPriority w:val="99"/>
    <w:unhideWhenUsed/>
    <w:rsid w:val="00E448B5"/>
    <w:pPr>
      <w:tabs>
        <w:tab w:val="center" w:pos="4536"/>
        <w:tab w:val="right" w:pos="9072"/>
      </w:tabs>
      <w:spacing w:after="0" w:line="240" w:lineRule="auto"/>
    </w:pPr>
  </w:style>
  <w:style w:type="numbering" w:customStyle="1" w:styleId="Style1">
    <w:name w:val="Style1"/>
    <w:uiPriority w:val="99"/>
    <w:rsid w:val="00560F2F"/>
    <w:pPr>
      <w:numPr>
        <w:numId w:val="17"/>
      </w:numPr>
    </w:pPr>
  </w:style>
  <w:style w:type="table" w:styleId="Grilledutableau">
    <w:name w:val="Table Grid"/>
    <w:basedOn w:val="TableauNormal"/>
    <w:uiPriority w:val="39"/>
    <w:rsid w:val="007A49E3"/>
    <w:pPr>
      <w:spacing w:after="0" w:line="240" w:lineRule="auto"/>
    </w:pPr>
    <w:rPr>
      <w:rFonts w:ascii="Calibri" w:eastAsia="Calibri" w:hAnsi="Calibri" w:cs="Times New Roman"/>
      <w:sz w:val="20"/>
      <w:szCs w:val="20"/>
      <w:lang w:val="fr-BE" w:eastAsia="fr-B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link w:val="SansinterligneCar"/>
    <w:uiPriority w:val="1"/>
    <w:qFormat/>
    <w:rsid w:val="00743C0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43C00"/>
    <w:rPr>
      <w:rFonts w:eastAsiaTheme="minorEastAsia"/>
    </w:rPr>
  </w:style>
  <w:style w:type="paragraph" w:styleId="En-ttedetabledesmatires">
    <w:name w:val="TOC Heading"/>
    <w:basedOn w:val="Titre1"/>
    <w:next w:val="Normal"/>
    <w:uiPriority w:val="39"/>
    <w:unhideWhenUsed/>
    <w:qFormat/>
    <w:rsid w:val="001F1FAC"/>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fr-FR"/>
    </w:rPr>
  </w:style>
  <w:style w:type="paragraph" w:styleId="TM1">
    <w:name w:val="toc 1"/>
    <w:basedOn w:val="Normal"/>
    <w:next w:val="Normal"/>
    <w:autoRedefine/>
    <w:uiPriority w:val="39"/>
    <w:unhideWhenUsed/>
    <w:rsid w:val="00A414A2"/>
    <w:pPr>
      <w:tabs>
        <w:tab w:val="right" w:pos="10206"/>
      </w:tabs>
      <w:spacing w:after="100" w:line="480" w:lineRule="auto"/>
      <w:ind w:left="1843" w:right="1700"/>
    </w:pPr>
  </w:style>
  <w:style w:type="table" w:customStyle="1" w:styleId="ListTable3Accent1">
    <w:name w:val="List Table 3 Accent 1"/>
    <w:basedOn w:val="TableauNormal"/>
    <w:uiPriority w:val="48"/>
    <w:rsid w:val="00DB6273"/>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Textedebulles">
    <w:name w:val="Balloon Text"/>
    <w:basedOn w:val="Normal"/>
    <w:link w:val="TextedebullesCar"/>
    <w:uiPriority w:val="99"/>
    <w:semiHidden/>
    <w:unhideWhenUsed/>
    <w:rsid w:val="00B001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014A"/>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05D79-0FA4-4210-9CD5-6893F974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7433</Words>
  <Characters>40885</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68 Réunion du Comité Exécutif</vt:lpstr>
    </vt:vector>
  </TitlesOfParts>
  <Company/>
  <LinksUpToDate>false</LinksUpToDate>
  <CharactersWithSpaces>48222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 Réunion du Comité Exécutif</dc:title>
  <dc:subject>du 23 mars 2016</dc:subject>
  <dc:creator>ITIE-DENINGAIDI Gilbert</dc:creator>
  <cp:keywords/>
  <dc:description/>
  <cp:lastModifiedBy>USER</cp:lastModifiedBy>
  <cp:revision>18</cp:revision>
  <cp:lastPrinted>2017-07-26T14:26:00Z</cp:lastPrinted>
  <dcterms:created xsi:type="dcterms:W3CDTF">2017-07-07T06:37:00Z</dcterms:created>
  <dcterms:modified xsi:type="dcterms:W3CDTF">2018-03-16T11:09:00Z</dcterms:modified>
</cp:coreProperties>
</file>