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DB6" w:rsidRPr="003E5DB6" w:rsidRDefault="003E5DB6" w:rsidP="003E5DB6">
      <w:pPr>
        <w:spacing w:after="0"/>
        <w:jc w:val="center"/>
        <w:rPr>
          <w:sz w:val="32"/>
        </w:rPr>
      </w:pPr>
      <w:r w:rsidRPr="003E5DB6">
        <w:rPr>
          <w:sz w:val="32"/>
        </w:rPr>
        <w:t>REUNION DE LA COMPOSANTE GOUVERNEMENT/KATANGA</w:t>
      </w:r>
    </w:p>
    <w:p w:rsidR="00180E26" w:rsidRDefault="003E5DB6" w:rsidP="003E5DB6">
      <w:pPr>
        <w:spacing w:after="0"/>
        <w:jc w:val="center"/>
        <w:rPr>
          <w:i/>
          <w:sz w:val="32"/>
          <w:u w:val="single"/>
        </w:rPr>
      </w:pPr>
      <w:r w:rsidRPr="003E5DB6">
        <w:rPr>
          <w:i/>
          <w:sz w:val="32"/>
          <w:u w:val="single"/>
        </w:rPr>
        <w:t>SUR LA REVUE DUPROJET DE RAPPORT ITIE-RDC 2014</w:t>
      </w:r>
    </w:p>
    <w:p w:rsidR="003E5DB6" w:rsidRPr="003E5DB6" w:rsidRDefault="003E5DB6" w:rsidP="003E5DB6">
      <w:pPr>
        <w:spacing w:after="0"/>
        <w:jc w:val="center"/>
        <w:rPr>
          <w:sz w:val="40"/>
          <w:u w:val="single"/>
        </w:rPr>
      </w:pPr>
    </w:p>
    <w:p w:rsidR="003E5DB6" w:rsidRDefault="003E5DB6" w:rsidP="003E5DB6">
      <w:pPr>
        <w:spacing w:after="0"/>
        <w:jc w:val="both"/>
        <w:rPr>
          <w:sz w:val="24"/>
          <w:szCs w:val="24"/>
        </w:rPr>
      </w:pPr>
      <w:r>
        <w:rPr>
          <w:sz w:val="24"/>
          <w:szCs w:val="24"/>
        </w:rPr>
        <w:t xml:space="preserve">Suivant l’agenda de publication du rapport ITIE-RDC 2014, il s’est tenu le vendredi 11 décembre 2015 à Lubumbashi </w:t>
      </w:r>
      <w:r w:rsidR="00C66712">
        <w:rPr>
          <w:sz w:val="24"/>
          <w:szCs w:val="24"/>
        </w:rPr>
        <w:t>de 09 heures 45 à 13 heures 2</w:t>
      </w:r>
      <w:r>
        <w:rPr>
          <w:sz w:val="24"/>
          <w:szCs w:val="24"/>
        </w:rPr>
        <w:t>0 dans les locaux de l’Antenne de l’ITIE</w:t>
      </w:r>
      <w:r w:rsidR="00C66712">
        <w:rPr>
          <w:sz w:val="24"/>
          <w:szCs w:val="24"/>
        </w:rPr>
        <w:t>-RDC</w:t>
      </w:r>
      <w:r>
        <w:rPr>
          <w:sz w:val="24"/>
          <w:szCs w:val="24"/>
        </w:rPr>
        <w:t>, une réunion de la composante Gouvernement sur l’analyse du projet de rapport ITIE-RDC 2014.</w:t>
      </w:r>
    </w:p>
    <w:p w:rsidR="003E5DB6" w:rsidRDefault="003E5DB6" w:rsidP="003E5DB6">
      <w:pPr>
        <w:spacing w:after="0"/>
        <w:jc w:val="both"/>
        <w:rPr>
          <w:sz w:val="24"/>
          <w:szCs w:val="24"/>
        </w:rPr>
      </w:pPr>
    </w:p>
    <w:p w:rsidR="003E5DB6" w:rsidRDefault="003E5DB6" w:rsidP="003E5DB6">
      <w:pPr>
        <w:spacing w:after="0"/>
        <w:jc w:val="both"/>
        <w:rPr>
          <w:sz w:val="24"/>
          <w:szCs w:val="24"/>
        </w:rPr>
      </w:pPr>
      <w:r>
        <w:rPr>
          <w:sz w:val="24"/>
          <w:szCs w:val="24"/>
        </w:rPr>
        <w:t>Organisée  avec l’appui financier et technique du Secrétariat Technique de l’ITIE-RDC, cette rencontre a été présidée, à la demande du Coordonnateur National de l’ITIE-RDC, par Monsieur Jean-Parfait NTABALA, Directeur Provincial</w:t>
      </w:r>
      <w:r w:rsidR="00C66712">
        <w:rPr>
          <w:sz w:val="24"/>
          <w:szCs w:val="24"/>
        </w:rPr>
        <w:t xml:space="preserve"> de la DGRAD</w:t>
      </w:r>
      <w:r>
        <w:rPr>
          <w:sz w:val="24"/>
          <w:szCs w:val="24"/>
        </w:rPr>
        <w:t>. Les  personnes suivantes ont pris part à cette réunion :</w:t>
      </w:r>
    </w:p>
    <w:p w:rsidR="003E5DB6" w:rsidRDefault="003E5DB6" w:rsidP="003E5DB6">
      <w:pPr>
        <w:spacing w:after="0"/>
        <w:jc w:val="both"/>
        <w:rPr>
          <w:sz w:val="24"/>
          <w:szCs w:val="24"/>
        </w:rPr>
      </w:pPr>
    </w:p>
    <w:p w:rsidR="003E5DB6" w:rsidRDefault="003E5DB6" w:rsidP="003E5DB6">
      <w:pPr>
        <w:pStyle w:val="Paragraphedeliste"/>
        <w:numPr>
          <w:ilvl w:val="0"/>
          <w:numId w:val="1"/>
        </w:numPr>
        <w:spacing w:after="0"/>
        <w:jc w:val="both"/>
        <w:rPr>
          <w:sz w:val="24"/>
          <w:szCs w:val="24"/>
        </w:rPr>
      </w:pPr>
      <w:r>
        <w:rPr>
          <w:sz w:val="24"/>
          <w:szCs w:val="24"/>
        </w:rPr>
        <w:t>M. Damas KATANGA </w:t>
      </w:r>
      <w:r>
        <w:rPr>
          <w:sz w:val="24"/>
          <w:szCs w:val="24"/>
        </w:rPr>
        <w:tab/>
        <w:t>: Chef de Division DGI/Katanga (Point Focal ITIE)</w:t>
      </w:r>
    </w:p>
    <w:p w:rsidR="003E5DB6" w:rsidRDefault="003E5DB6" w:rsidP="003E5DB6">
      <w:pPr>
        <w:pStyle w:val="Paragraphedeliste"/>
        <w:numPr>
          <w:ilvl w:val="0"/>
          <w:numId w:val="1"/>
        </w:numPr>
        <w:spacing w:after="0"/>
        <w:jc w:val="both"/>
        <w:rPr>
          <w:sz w:val="24"/>
          <w:szCs w:val="24"/>
        </w:rPr>
      </w:pPr>
      <w:r>
        <w:rPr>
          <w:sz w:val="24"/>
          <w:szCs w:val="24"/>
        </w:rPr>
        <w:t>M. Blaise BWELE </w:t>
      </w:r>
      <w:r>
        <w:rPr>
          <w:sz w:val="24"/>
          <w:szCs w:val="24"/>
        </w:rPr>
        <w:tab/>
        <w:t>: Chef de Division DGRAD/Katanga (Point Focal ITIE)</w:t>
      </w:r>
    </w:p>
    <w:p w:rsidR="003E5DB6" w:rsidRDefault="003E5DB6" w:rsidP="003E5DB6">
      <w:pPr>
        <w:pStyle w:val="Paragraphedeliste"/>
        <w:numPr>
          <w:ilvl w:val="0"/>
          <w:numId w:val="1"/>
        </w:numPr>
        <w:spacing w:after="0"/>
        <w:jc w:val="both"/>
        <w:rPr>
          <w:sz w:val="24"/>
          <w:szCs w:val="24"/>
        </w:rPr>
      </w:pPr>
      <w:r>
        <w:rPr>
          <w:sz w:val="24"/>
          <w:szCs w:val="24"/>
        </w:rPr>
        <w:t xml:space="preserve">M. </w:t>
      </w:r>
      <w:proofErr w:type="spellStart"/>
      <w:r>
        <w:rPr>
          <w:sz w:val="24"/>
          <w:szCs w:val="24"/>
        </w:rPr>
        <w:t>Diallon</w:t>
      </w:r>
      <w:proofErr w:type="spellEnd"/>
      <w:r>
        <w:rPr>
          <w:sz w:val="24"/>
          <w:szCs w:val="24"/>
        </w:rPr>
        <w:t xml:space="preserve"> KITENGE </w:t>
      </w:r>
      <w:r>
        <w:rPr>
          <w:sz w:val="24"/>
          <w:szCs w:val="24"/>
        </w:rPr>
        <w:tab/>
        <w:t xml:space="preserve">: Chef de Bureau Division Provincial des Mines/Katanga </w:t>
      </w:r>
    </w:p>
    <w:p w:rsidR="003E5DB6" w:rsidRDefault="003E5DB6" w:rsidP="003E5DB6">
      <w:pPr>
        <w:pStyle w:val="Paragraphedeliste"/>
        <w:numPr>
          <w:ilvl w:val="0"/>
          <w:numId w:val="1"/>
        </w:numPr>
        <w:spacing w:after="0"/>
        <w:jc w:val="both"/>
        <w:rPr>
          <w:sz w:val="24"/>
          <w:szCs w:val="24"/>
        </w:rPr>
      </w:pPr>
      <w:r>
        <w:rPr>
          <w:sz w:val="24"/>
          <w:szCs w:val="24"/>
        </w:rPr>
        <w:t xml:space="preserve">M. </w:t>
      </w:r>
      <w:proofErr w:type="spellStart"/>
      <w:r>
        <w:rPr>
          <w:sz w:val="24"/>
          <w:szCs w:val="24"/>
        </w:rPr>
        <w:t>Jean-jacques</w:t>
      </w:r>
      <w:proofErr w:type="spellEnd"/>
      <w:r>
        <w:rPr>
          <w:sz w:val="24"/>
          <w:szCs w:val="24"/>
        </w:rPr>
        <w:t xml:space="preserve"> SUKAKUMU : Inspecteur DGDA (Point Focal ITIE)</w:t>
      </w:r>
    </w:p>
    <w:p w:rsidR="003E5DB6" w:rsidRDefault="003E5DB6" w:rsidP="003E5DB6">
      <w:pPr>
        <w:pStyle w:val="Paragraphedeliste"/>
        <w:numPr>
          <w:ilvl w:val="0"/>
          <w:numId w:val="1"/>
        </w:numPr>
        <w:spacing w:after="0"/>
        <w:jc w:val="both"/>
        <w:rPr>
          <w:sz w:val="24"/>
          <w:szCs w:val="24"/>
        </w:rPr>
      </w:pPr>
      <w:r>
        <w:rPr>
          <w:sz w:val="24"/>
          <w:szCs w:val="24"/>
        </w:rPr>
        <w:t>M. Eric KAMOA </w:t>
      </w:r>
      <w:r>
        <w:rPr>
          <w:sz w:val="24"/>
          <w:szCs w:val="24"/>
        </w:rPr>
        <w:tab/>
        <w:t>: Chef de Division DRKAT (Point Focal ITIE)</w:t>
      </w:r>
    </w:p>
    <w:p w:rsidR="003E5DB6" w:rsidRDefault="003E5DB6" w:rsidP="003E5DB6">
      <w:pPr>
        <w:pStyle w:val="Paragraphedeliste"/>
        <w:numPr>
          <w:ilvl w:val="0"/>
          <w:numId w:val="1"/>
        </w:numPr>
        <w:spacing w:after="0"/>
        <w:jc w:val="both"/>
        <w:rPr>
          <w:sz w:val="24"/>
          <w:szCs w:val="24"/>
        </w:rPr>
      </w:pPr>
      <w:r>
        <w:rPr>
          <w:sz w:val="24"/>
          <w:szCs w:val="24"/>
        </w:rPr>
        <w:t>M. Oscar MAKOND </w:t>
      </w:r>
      <w:r>
        <w:rPr>
          <w:sz w:val="24"/>
          <w:szCs w:val="24"/>
        </w:rPr>
        <w:tab/>
        <w:t xml:space="preserve">: Chef de Division DRKAT </w:t>
      </w:r>
    </w:p>
    <w:p w:rsidR="003E5DB6" w:rsidRDefault="003E5DB6" w:rsidP="003E5DB6">
      <w:pPr>
        <w:pStyle w:val="Paragraphedeliste"/>
        <w:numPr>
          <w:ilvl w:val="0"/>
          <w:numId w:val="1"/>
        </w:numPr>
        <w:spacing w:after="0"/>
        <w:jc w:val="both"/>
        <w:rPr>
          <w:sz w:val="24"/>
          <w:szCs w:val="24"/>
        </w:rPr>
      </w:pPr>
      <w:r>
        <w:rPr>
          <w:sz w:val="24"/>
          <w:szCs w:val="24"/>
        </w:rPr>
        <w:t>M. Trésor NGALIEMA : Expert Technique Second ITIE-RDC</w:t>
      </w:r>
    </w:p>
    <w:p w:rsidR="003E5DB6" w:rsidRDefault="003E5DB6" w:rsidP="003E5DB6">
      <w:pPr>
        <w:pStyle w:val="Paragraphedeliste"/>
        <w:numPr>
          <w:ilvl w:val="0"/>
          <w:numId w:val="1"/>
        </w:numPr>
        <w:spacing w:after="0"/>
        <w:jc w:val="both"/>
        <w:rPr>
          <w:sz w:val="24"/>
          <w:szCs w:val="24"/>
        </w:rPr>
      </w:pPr>
      <w:r>
        <w:rPr>
          <w:sz w:val="24"/>
          <w:szCs w:val="24"/>
        </w:rPr>
        <w:t xml:space="preserve">M. </w:t>
      </w:r>
      <w:proofErr w:type="spellStart"/>
      <w:r>
        <w:rPr>
          <w:sz w:val="24"/>
          <w:szCs w:val="24"/>
        </w:rPr>
        <w:t>Leopold</w:t>
      </w:r>
      <w:proofErr w:type="spellEnd"/>
      <w:r>
        <w:rPr>
          <w:sz w:val="24"/>
          <w:szCs w:val="24"/>
        </w:rPr>
        <w:t xml:space="preserve"> KATUMBWE : Expert Technique Auxiliaire </w:t>
      </w:r>
    </w:p>
    <w:p w:rsidR="003E5DB6" w:rsidRPr="003E5DB6" w:rsidRDefault="003E5DB6" w:rsidP="003E5DB6">
      <w:pPr>
        <w:pStyle w:val="Paragraphedeliste"/>
        <w:spacing w:after="0"/>
        <w:jc w:val="both"/>
        <w:rPr>
          <w:sz w:val="12"/>
          <w:szCs w:val="24"/>
        </w:rPr>
      </w:pPr>
    </w:p>
    <w:p w:rsidR="003E5DB6" w:rsidRDefault="008E1B3F" w:rsidP="003E5DB6">
      <w:pPr>
        <w:spacing w:after="0"/>
        <w:jc w:val="both"/>
        <w:rPr>
          <w:sz w:val="24"/>
          <w:szCs w:val="24"/>
        </w:rPr>
      </w:pPr>
      <w:r>
        <w:rPr>
          <w:sz w:val="24"/>
          <w:szCs w:val="24"/>
        </w:rPr>
        <w:t>Après la p</w:t>
      </w:r>
      <w:r w:rsidRPr="008E1B3F">
        <w:rPr>
          <w:sz w:val="24"/>
          <w:szCs w:val="24"/>
        </w:rPr>
        <w:t xml:space="preserve">résentation de l'essentiel du projet de rapport ITIE-RDC 2014 par </w:t>
      </w:r>
      <w:r>
        <w:rPr>
          <w:sz w:val="24"/>
          <w:szCs w:val="24"/>
        </w:rPr>
        <w:t xml:space="preserve">Monsieur NGALIEMA, Expert de l’ITIE, les participants ont relevé  les observations </w:t>
      </w:r>
      <w:r w:rsidR="00FE6C68">
        <w:rPr>
          <w:sz w:val="24"/>
          <w:szCs w:val="24"/>
        </w:rPr>
        <w:t xml:space="preserve">et constations </w:t>
      </w:r>
      <w:r>
        <w:rPr>
          <w:sz w:val="24"/>
          <w:szCs w:val="24"/>
        </w:rPr>
        <w:t xml:space="preserve">repris dans le tableau ci-dessous : </w:t>
      </w:r>
    </w:p>
    <w:p w:rsidR="008E1B3F" w:rsidRDefault="008E1B3F" w:rsidP="003E5DB6">
      <w:pPr>
        <w:spacing w:after="0"/>
        <w:jc w:val="both"/>
        <w:rPr>
          <w:sz w:val="24"/>
          <w:szCs w:val="24"/>
        </w:rPr>
      </w:pPr>
    </w:p>
    <w:tbl>
      <w:tblPr>
        <w:tblW w:w="10427" w:type="dxa"/>
        <w:tblInd w:w="-444" w:type="dxa"/>
        <w:tblLayout w:type="fixed"/>
        <w:tblCellMar>
          <w:left w:w="10" w:type="dxa"/>
          <w:right w:w="10" w:type="dxa"/>
        </w:tblCellMar>
        <w:tblLook w:val="0000" w:firstRow="0" w:lastRow="0" w:firstColumn="0" w:lastColumn="0" w:noHBand="0" w:noVBand="0"/>
      </w:tblPr>
      <w:tblGrid>
        <w:gridCol w:w="2410"/>
        <w:gridCol w:w="3271"/>
        <w:gridCol w:w="2756"/>
        <w:gridCol w:w="1990"/>
      </w:tblGrid>
      <w:tr w:rsidR="008E1B3F" w:rsidRPr="001B2972" w:rsidTr="00A17F79">
        <w:trPr>
          <w:tblHeader/>
        </w:trPr>
        <w:tc>
          <w:tcPr>
            <w:tcW w:w="2410" w:type="dxa"/>
            <w:tcBorders>
              <w:top w:val="double" w:sz="2" w:space="0" w:color="83CAFF"/>
              <w:left w:val="double" w:sz="2" w:space="0" w:color="83CAFF"/>
              <w:bottom w:val="double" w:sz="2" w:space="0" w:color="83CAFF"/>
            </w:tcBorders>
            <w:shd w:val="clear" w:color="auto" w:fill="83CAFF"/>
            <w:tcMar>
              <w:top w:w="55" w:type="dxa"/>
              <w:left w:w="55" w:type="dxa"/>
              <w:bottom w:w="55" w:type="dxa"/>
              <w:right w:w="55" w:type="dxa"/>
            </w:tcMar>
          </w:tcPr>
          <w:p w:rsidR="008E1B3F" w:rsidRPr="001B2972" w:rsidRDefault="008E1B3F" w:rsidP="00A17F79">
            <w:pPr>
              <w:shd w:val="clear" w:color="auto" w:fill="FFFFFF"/>
              <w:suppressAutoHyphens/>
              <w:autoSpaceDN w:val="0"/>
              <w:spacing w:after="0" w:line="240" w:lineRule="auto"/>
              <w:jc w:val="center"/>
              <w:textAlignment w:val="baseline"/>
              <w:rPr>
                <w:rFonts w:ascii="Myriad Pro" w:eastAsia="Calibri" w:hAnsi="Myriad Pro" w:cs="Arial"/>
                <w:kern w:val="3"/>
                <w:sz w:val="20"/>
              </w:rPr>
            </w:pPr>
            <w:r w:rsidRPr="001B2972">
              <w:rPr>
                <w:rFonts w:ascii="Myriad Pro" w:eastAsia="Calibri" w:hAnsi="Myriad Pro" w:cs="Arial"/>
                <w:kern w:val="3"/>
                <w:sz w:val="20"/>
              </w:rPr>
              <w:t>Principales</w:t>
            </w:r>
          </w:p>
          <w:p w:rsidR="008E1B3F" w:rsidRPr="001B2972" w:rsidRDefault="008E1B3F" w:rsidP="00A17F79">
            <w:pPr>
              <w:shd w:val="clear" w:color="auto" w:fill="FFFFFF"/>
              <w:suppressAutoHyphens/>
              <w:autoSpaceDN w:val="0"/>
              <w:spacing w:after="0" w:line="240" w:lineRule="auto"/>
              <w:jc w:val="center"/>
              <w:textAlignment w:val="baseline"/>
              <w:rPr>
                <w:rFonts w:ascii="Myriad Pro" w:eastAsia="Calibri" w:hAnsi="Myriad Pro" w:cs="Arial"/>
                <w:kern w:val="3"/>
                <w:sz w:val="20"/>
              </w:rPr>
            </w:pPr>
            <w:r w:rsidRPr="001B2972">
              <w:rPr>
                <w:rFonts w:ascii="Myriad Pro" w:eastAsia="Calibri" w:hAnsi="Myriad Pro" w:cs="Arial"/>
                <w:kern w:val="3"/>
                <w:sz w:val="20"/>
              </w:rPr>
              <w:t>constations</w:t>
            </w:r>
          </w:p>
        </w:tc>
        <w:tc>
          <w:tcPr>
            <w:tcW w:w="3271" w:type="dxa"/>
            <w:tcBorders>
              <w:top w:val="double" w:sz="2" w:space="0" w:color="83CAFF"/>
              <w:left w:val="double" w:sz="2" w:space="0" w:color="83CAFF"/>
              <w:bottom w:val="double" w:sz="2" w:space="0" w:color="83CAFF"/>
            </w:tcBorders>
            <w:shd w:val="clear" w:color="auto" w:fill="83CAFF"/>
            <w:tcMar>
              <w:top w:w="55" w:type="dxa"/>
              <w:left w:w="55" w:type="dxa"/>
              <w:bottom w:w="55" w:type="dxa"/>
              <w:right w:w="55" w:type="dxa"/>
            </w:tcMar>
          </w:tcPr>
          <w:p w:rsidR="008E1B3F" w:rsidRPr="001B2972" w:rsidRDefault="008E1B3F" w:rsidP="00A17F79">
            <w:pPr>
              <w:shd w:val="clear" w:color="auto" w:fill="FFFFFF"/>
              <w:suppressAutoHyphens/>
              <w:autoSpaceDN w:val="0"/>
              <w:spacing w:after="0" w:line="240" w:lineRule="auto"/>
              <w:jc w:val="center"/>
              <w:textAlignment w:val="baseline"/>
              <w:rPr>
                <w:rFonts w:ascii="Myriad Pro" w:eastAsia="Calibri" w:hAnsi="Myriad Pro" w:cs="Arial"/>
                <w:kern w:val="3"/>
                <w:sz w:val="20"/>
              </w:rPr>
            </w:pPr>
            <w:r w:rsidRPr="001B2972">
              <w:rPr>
                <w:rFonts w:ascii="Myriad Pro" w:eastAsia="Calibri" w:hAnsi="Myriad Pro" w:cs="Arial"/>
                <w:kern w:val="3"/>
                <w:sz w:val="20"/>
              </w:rPr>
              <w:t>Commentaires spécifiques sur les constatations</w:t>
            </w:r>
          </w:p>
        </w:tc>
        <w:tc>
          <w:tcPr>
            <w:tcW w:w="2756" w:type="dxa"/>
            <w:tcBorders>
              <w:top w:val="double" w:sz="2" w:space="0" w:color="83CAFF"/>
              <w:left w:val="double" w:sz="2" w:space="0" w:color="83CAFF"/>
              <w:bottom w:val="double" w:sz="2" w:space="0" w:color="83CAFF"/>
            </w:tcBorders>
            <w:shd w:val="clear" w:color="auto" w:fill="83CAFF"/>
            <w:tcMar>
              <w:top w:w="55" w:type="dxa"/>
              <w:left w:w="55" w:type="dxa"/>
              <w:bottom w:w="55" w:type="dxa"/>
              <w:right w:w="55" w:type="dxa"/>
            </w:tcMar>
          </w:tcPr>
          <w:p w:rsidR="008E1B3F" w:rsidRPr="001B2972" w:rsidRDefault="008E1B3F" w:rsidP="00A17F79">
            <w:pPr>
              <w:shd w:val="clear" w:color="auto" w:fill="FFFFFF"/>
              <w:suppressAutoHyphens/>
              <w:autoSpaceDN w:val="0"/>
              <w:spacing w:after="0" w:line="240" w:lineRule="auto"/>
              <w:jc w:val="center"/>
              <w:textAlignment w:val="baseline"/>
              <w:rPr>
                <w:rFonts w:ascii="Myriad Pro" w:eastAsia="Calibri" w:hAnsi="Myriad Pro" w:cs="Arial"/>
                <w:kern w:val="3"/>
                <w:sz w:val="20"/>
              </w:rPr>
            </w:pPr>
            <w:r w:rsidRPr="001B2972">
              <w:rPr>
                <w:rFonts w:ascii="Myriad Pro" w:eastAsia="Calibri" w:hAnsi="Myriad Pro" w:cs="Arial"/>
                <w:kern w:val="3"/>
                <w:sz w:val="20"/>
              </w:rPr>
              <w:t>Suggestion</w:t>
            </w:r>
          </w:p>
          <w:p w:rsidR="008E1B3F" w:rsidRPr="001B2972" w:rsidRDefault="008E1B3F" w:rsidP="00A17F79">
            <w:pPr>
              <w:shd w:val="clear" w:color="auto" w:fill="FFFFFF"/>
              <w:suppressAutoHyphens/>
              <w:autoSpaceDN w:val="0"/>
              <w:spacing w:after="0" w:line="240" w:lineRule="auto"/>
              <w:jc w:val="center"/>
              <w:textAlignment w:val="baseline"/>
              <w:rPr>
                <w:rFonts w:ascii="Myriad Pro" w:eastAsia="Calibri" w:hAnsi="Myriad Pro" w:cs="Arial"/>
                <w:kern w:val="3"/>
                <w:sz w:val="20"/>
              </w:rPr>
            </w:pPr>
            <w:r w:rsidRPr="001B2972">
              <w:rPr>
                <w:rFonts w:ascii="Myriad Pro" w:eastAsia="Calibri" w:hAnsi="Myriad Pro" w:cs="Arial"/>
                <w:kern w:val="3"/>
                <w:sz w:val="20"/>
              </w:rPr>
              <w:t>de l'amélioration</w:t>
            </w:r>
          </w:p>
        </w:tc>
        <w:tc>
          <w:tcPr>
            <w:tcW w:w="1990" w:type="dxa"/>
            <w:tcBorders>
              <w:top w:val="double" w:sz="2" w:space="0" w:color="83CAFF"/>
              <w:left w:val="double" w:sz="2" w:space="0" w:color="83CAFF"/>
              <w:bottom w:val="double" w:sz="2" w:space="0" w:color="83CAFF"/>
              <w:right w:val="double" w:sz="2" w:space="0" w:color="83CAFF"/>
            </w:tcBorders>
            <w:shd w:val="clear" w:color="auto" w:fill="83CAFF"/>
            <w:tcMar>
              <w:top w:w="55" w:type="dxa"/>
              <w:left w:w="55" w:type="dxa"/>
              <w:bottom w:w="55" w:type="dxa"/>
              <w:right w:w="55" w:type="dxa"/>
            </w:tcMar>
          </w:tcPr>
          <w:p w:rsidR="008E1B3F" w:rsidRPr="001B2972" w:rsidRDefault="008E1B3F" w:rsidP="00A17F79">
            <w:pPr>
              <w:shd w:val="clear" w:color="auto" w:fill="FFFFFF"/>
              <w:suppressAutoHyphens/>
              <w:autoSpaceDN w:val="0"/>
              <w:spacing w:after="0" w:line="240" w:lineRule="auto"/>
              <w:jc w:val="center"/>
              <w:textAlignment w:val="baseline"/>
              <w:rPr>
                <w:rFonts w:ascii="Myriad Pro" w:eastAsia="Calibri" w:hAnsi="Myriad Pro" w:cs="Arial"/>
                <w:kern w:val="3"/>
                <w:sz w:val="20"/>
              </w:rPr>
            </w:pPr>
            <w:r w:rsidRPr="001B2972">
              <w:rPr>
                <w:rFonts w:ascii="Myriad Pro" w:eastAsia="Calibri" w:hAnsi="Myriad Pro" w:cs="Arial"/>
                <w:kern w:val="3"/>
                <w:sz w:val="20"/>
              </w:rPr>
              <w:t>Autres</w:t>
            </w:r>
          </w:p>
          <w:p w:rsidR="008E1B3F" w:rsidRPr="001B2972" w:rsidRDefault="008E1B3F" w:rsidP="00A17F79">
            <w:pPr>
              <w:shd w:val="clear" w:color="auto" w:fill="FFFFFF"/>
              <w:suppressAutoHyphens/>
              <w:autoSpaceDN w:val="0"/>
              <w:spacing w:after="0" w:line="240" w:lineRule="auto"/>
              <w:jc w:val="center"/>
              <w:textAlignment w:val="baseline"/>
              <w:rPr>
                <w:rFonts w:ascii="Myriad Pro" w:eastAsia="Calibri" w:hAnsi="Myriad Pro" w:cs="Arial"/>
                <w:kern w:val="3"/>
                <w:sz w:val="20"/>
              </w:rPr>
            </w:pPr>
            <w:r w:rsidRPr="001B2972">
              <w:rPr>
                <w:rFonts w:ascii="Myriad Pro" w:eastAsia="Calibri" w:hAnsi="Myriad Pro" w:cs="Arial"/>
                <w:kern w:val="3"/>
                <w:sz w:val="20"/>
              </w:rPr>
              <w:t>commentaires</w:t>
            </w:r>
          </w:p>
        </w:tc>
      </w:tr>
      <w:tr w:rsidR="008E1B3F" w:rsidRPr="001B2972" w:rsidTr="00A17F79">
        <w:tc>
          <w:tcPr>
            <w:tcW w:w="2410" w:type="dxa"/>
            <w:tcBorders>
              <w:left w:val="single" w:sz="2" w:space="0" w:color="000000"/>
              <w:bottom w:val="single" w:sz="2" w:space="0" w:color="000000"/>
            </w:tcBorders>
            <w:shd w:val="clear" w:color="auto" w:fill="FFFF99"/>
            <w:tcMar>
              <w:top w:w="55" w:type="dxa"/>
              <w:left w:w="55" w:type="dxa"/>
              <w:bottom w:w="55" w:type="dxa"/>
              <w:right w:w="55" w:type="dxa"/>
            </w:tcMar>
          </w:tcPr>
          <w:p w:rsidR="008E1B3F" w:rsidRPr="001B2972" w:rsidRDefault="008E1B3F" w:rsidP="00A17F79">
            <w:pPr>
              <w:shd w:val="clear" w:color="auto" w:fill="FFFFFF"/>
              <w:suppressAutoHyphens/>
              <w:autoSpaceDN w:val="0"/>
              <w:spacing w:after="0" w:line="240" w:lineRule="auto"/>
              <w:textAlignment w:val="baseline"/>
              <w:rPr>
                <w:rFonts w:ascii="Myriad Pro" w:eastAsia="Calibri" w:hAnsi="Myriad Pro" w:cs="Arial"/>
                <w:kern w:val="3"/>
                <w:sz w:val="20"/>
              </w:rPr>
            </w:pPr>
            <w:r w:rsidRPr="001B2972">
              <w:rPr>
                <w:rFonts w:ascii="Myriad Pro" w:eastAsia="Calibri" w:hAnsi="Myriad Pro" w:cs="Arial"/>
                <w:kern w:val="3"/>
                <w:sz w:val="20"/>
              </w:rPr>
              <w:t xml:space="preserve">Respect des </w:t>
            </w:r>
            <w:proofErr w:type="spellStart"/>
            <w:r w:rsidRPr="001B2972">
              <w:rPr>
                <w:rFonts w:ascii="Myriad Pro" w:eastAsia="Calibri" w:hAnsi="Myriad Pro" w:cs="Arial"/>
                <w:kern w:val="3"/>
                <w:sz w:val="20"/>
              </w:rPr>
              <w:t>TDRs</w:t>
            </w:r>
            <w:proofErr w:type="spellEnd"/>
            <w:r w:rsidRPr="001B2972">
              <w:rPr>
                <w:rFonts w:ascii="Myriad Pro" w:eastAsia="Calibri" w:hAnsi="Myriad Pro" w:cs="Arial"/>
                <w:kern w:val="3"/>
                <w:sz w:val="20"/>
              </w:rPr>
              <w:t xml:space="preserve"> par l'AI</w:t>
            </w:r>
          </w:p>
        </w:tc>
        <w:tc>
          <w:tcPr>
            <w:tcW w:w="3271"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Pr="001B2972" w:rsidRDefault="008E1B3F" w:rsidP="00A17F79">
            <w:pPr>
              <w:suppressLineNumbers/>
              <w:suppressAutoHyphens/>
              <w:autoSpaceDN w:val="0"/>
              <w:spacing w:after="200" w:line="276" w:lineRule="auto"/>
              <w:jc w:val="center"/>
              <w:textAlignment w:val="baseline"/>
              <w:rPr>
                <w:rFonts w:ascii="Myriad Pro" w:eastAsia="Calibri" w:hAnsi="Myriad Pro" w:cs="Arial"/>
                <w:kern w:val="3"/>
              </w:rPr>
            </w:pPr>
            <w:r>
              <w:rPr>
                <w:rFonts w:ascii="Myriad Pro" w:eastAsia="Calibri" w:hAnsi="Myriad Pro" w:cs="Arial"/>
                <w:kern w:val="3"/>
              </w:rPr>
              <w:t>-</w:t>
            </w:r>
          </w:p>
        </w:tc>
        <w:tc>
          <w:tcPr>
            <w:tcW w:w="2756"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Pr="001B2972" w:rsidRDefault="008E1B3F" w:rsidP="00A17F79">
            <w:pPr>
              <w:suppressLineNumbers/>
              <w:suppressAutoHyphens/>
              <w:autoSpaceDN w:val="0"/>
              <w:spacing w:after="200" w:line="276" w:lineRule="auto"/>
              <w:jc w:val="center"/>
              <w:textAlignment w:val="baseline"/>
              <w:rPr>
                <w:rFonts w:ascii="Myriad Pro" w:eastAsia="Calibri" w:hAnsi="Myriad Pro" w:cs="Arial"/>
                <w:kern w:val="3"/>
              </w:rPr>
            </w:pPr>
            <w:r>
              <w:rPr>
                <w:rFonts w:ascii="Myriad Pro" w:eastAsia="Calibri" w:hAnsi="Myriad Pro" w:cs="Arial"/>
                <w:kern w:val="3"/>
              </w:rPr>
              <w:t>-</w:t>
            </w:r>
          </w:p>
        </w:tc>
        <w:tc>
          <w:tcPr>
            <w:tcW w:w="19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E1B3F" w:rsidRPr="001B2972" w:rsidRDefault="008E1B3F" w:rsidP="00A17F79">
            <w:p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 xml:space="preserve">Sans avoir reçu préalablement lesdits </w:t>
            </w:r>
            <w:proofErr w:type="spellStart"/>
            <w:r>
              <w:rPr>
                <w:rFonts w:ascii="Myriad Pro" w:eastAsia="Calibri" w:hAnsi="Myriad Pro" w:cs="Arial"/>
                <w:kern w:val="3"/>
              </w:rPr>
              <w:t>TDRs</w:t>
            </w:r>
            <w:proofErr w:type="spellEnd"/>
            <w:r>
              <w:rPr>
                <w:rFonts w:ascii="Myriad Pro" w:eastAsia="Calibri" w:hAnsi="Myriad Pro" w:cs="Arial"/>
                <w:kern w:val="3"/>
              </w:rPr>
              <w:t xml:space="preserve"> les Experts du Gouvernement  ne pourront pas se prononcer sur cette question</w:t>
            </w:r>
          </w:p>
        </w:tc>
      </w:tr>
      <w:tr w:rsidR="008E1B3F" w:rsidRPr="001B2972" w:rsidTr="00A17F79">
        <w:tc>
          <w:tcPr>
            <w:tcW w:w="2410" w:type="dxa"/>
            <w:tcBorders>
              <w:left w:val="single" w:sz="2" w:space="0" w:color="000000"/>
              <w:bottom w:val="single" w:sz="2" w:space="0" w:color="000000"/>
            </w:tcBorders>
            <w:shd w:val="clear" w:color="auto" w:fill="FFFF99"/>
            <w:tcMar>
              <w:top w:w="55" w:type="dxa"/>
              <w:left w:w="55" w:type="dxa"/>
              <w:bottom w:w="55" w:type="dxa"/>
              <w:right w:w="55" w:type="dxa"/>
            </w:tcMar>
          </w:tcPr>
          <w:p w:rsidR="008E1B3F" w:rsidRPr="001B2972" w:rsidRDefault="008E1B3F" w:rsidP="00A17F79">
            <w:pPr>
              <w:shd w:val="clear" w:color="auto" w:fill="FFFFFF"/>
              <w:suppressAutoHyphens/>
              <w:autoSpaceDN w:val="0"/>
              <w:spacing w:after="0" w:line="240" w:lineRule="auto"/>
              <w:textAlignment w:val="baseline"/>
              <w:rPr>
                <w:rFonts w:ascii="Myriad Pro" w:eastAsia="Calibri" w:hAnsi="Myriad Pro" w:cs="Arial"/>
                <w:kern w:val="3"/>
                <w:sz w:val="20"/>
              </w:rPr>
            </w:pPr>
            <w:r w:rsidRPr="001B2972">
              <w:rPr>
                <w:rFonts w:ascii="Myriad Pro" w:eastAsia="Calibri" w:hAnsi="Myriad Pro" w:cs="Arial"/>
                <w:kern w:val="3"/>
                <w:sz w:val="20"/>
              </w:rPr>
              <w:t>Entités déclarantes (voir le cadrage)</w:t>
            </w:r>
          </w:p>
        </w:tc>
        <w:tc>
          <w:tcPr>
            <w:tcW w:w="3271"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Pr="001B2972" w:rsidRDefault="008E1B3F" w:rsidP="00A17F79">
            <w:p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 xml:space="preserve">En ce qui concerne la société STR Mining, les Régies Financières  n’ont aucune trace de cette entreprise </w:t>
            </w:r>
          </w:p>
        </w:tc>
        <w:tc>
          <w:tcPr>
            <w:tcW w:w="2756"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Pr="001B2972" w:rsidRDefault="008E1B3F" w:rsidP="00A17F79">
            <w:p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 xml:space="preserve">Il faut se référer au cadastre minier étant donné que STR Mining détient des titres miniers </w:t>
            </w:r>
          </w:p>
        </w:tc>
        <w:tc>
          <w:tcPr>
            <w:tcW w:w="19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E1B3F" w:rsidRPr="001B2972" w:rsidRDefault="008E1B3F" w:rsidP="00A17F79">
            <w:pPr>
              <w:suppressLineNumbers/>
              <w:suppressAutoHyphens/>
              <w:autoSpaceDN w:val="0"/>
              <w:spacing w:after="200" w:line="276" w:lineRule="auto"/>
              <w:textAlignment w:val="baseline"/>
              <w:rPr>
                <w:rFonts w:ascii="Myriad Pro" w:eastAsia="Calibri" w:hAnsi="Myriad Pro" w:cs="Arial"/>
                <w:kern w:val="3"/>
              </w:rPr>
            </w:pPr>
          </w:p>
        </w:tc>
      </w:tr>
      <w:tr w:rsidR="008E1B3F" w:rsidRPr="001B2972" w:rsidTr="00A17F79">
        <w:tc>
          <w:tcPr>
            <w:tcW w:w="2410" w:type="dxa"/>
            <w:tcBorders>
              <w:left w:val="single" w:sz="2" w:space="0" w:color="000000"/>
              <w:bottom w:val="single" w:sz="2" w:space="0" w:color="000000"/>
            </w:tcBorders>
            <w:shd w:val="clear" w:color="auto" w:fill="FFFF99"/>
            <w:tcMar>
              <w:top w:w="55" w:type="dxa"/>
              <w:left w:w="55" w:type="dxa"/>
              <w:bottom w:w="55" w:type="dxa"/>
              <w:right w:w="55" w:type="dxa"/>
            </w:tcMar>
          </w:tcPr>
          <w:p w:rsidR="008E1B3F" w:rsidRPr="001B2972" w:rsidRDefault="008E1B3F" w:rsidP="00A17F79">
            <w:pPr>
              <w:shd w:val="clear" w:color="auto" w:fill="FFFFFF"/>
              <w:suppressAutoHyphens/>
              <w:autoSpaceDN w:val="0"/>
              <w:spacing w:after="0" w:line="240" w:lineRule="auto"/>
              <w:textAlignment w:val="baseline"/>
              <w:rPr>
                <w:rFonts w:ascii="Myriad Pro" w:eastAsia="Calibri" w:hAnsi="Myriad Pro" w:cs="Arial"/>
                <w:kern w:val="3"/>
                <w:sz w:val="20"/>
              </w:rPr>
            </w:pPr>
            <w:r w:rsidRPr="001B2972">
              <w:rPr>
                <w:rFonts w:ascii="Myriad Pro" w:eastAsia="Calibri" w:hAnsi="Myriad Pro" w:cs="Arial"/>
                <w:kern w:val="3"/>
                <w:sz w:val="20"/>
              </w:rPr>
              <w:t>Flux déclarés (voir le cadrage)</w:t>
            </w:r>
          </w:p>
        </w:tc>
        <w:tc>
          <w:tcPr>
            <w:tcW w:w="3271"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Pr="001B2972" w:rsidRDefault="008E1B3F" w:rsidP="00A17F79">
            <w:p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 xml:space="preserve">La </w:t>
            </w:r>
            <w:r w:rsidRPr="00C662FB">
              <w:rPr>
                <w:rFonts w:ascii="Myriad Pro" w:eastAsia="Calibri" w:hAnsi="Myriad Pro" w:cs="Arial"/>
                <w:kern w:val="3"/>
              </w:rPr>
              <w:t>Taxe sur autorisation d'exploitation des eaux naturelles de surface ou souterraines</w:t>
            </w:r>
            <w:r>
              <w:rPr>
                <w:rFonts w:ascii="Myriad Pro" w:eastAsia="Calibri" w:hAnsi="Myriad Pro" w:cs="Arial"/>
                <w:kern w:val="3"/>
              </w:rPr>
              <w:t xml:space="preserve"> n’est </w:t>
            </w:r>
            <w:r>
              <w:rPr>
                <w:rFonts w:ascii="Myriad Pro" w:eastAsia="Calibri" w:hAnsi="Myriad Pro" w:cs="Arial"/>
                <w:kern w:val="3"/>
              </w:rPr>
              <w:lastRenderedPageBreak/>
              <w:t>plus perçue par la  DGRAD mais par la DRKAT</w:t>
            </w:r>
          </w:p>
        </w:tc>
        <w:tc>
          <w:tcPr>
            <w:tcW w:w="2756"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Pr="00470252" w:rsidRDefault="008E1B3F" w:rsidP="00A17F79">
            <w:pPr>
              <w:rPr>
                <w:rFonts w:ascii="Myriad Pro" w:eastAsia="Calibri" w:hAnsi="Myriad Pro" w:cs="Arial"/>
                <w:kern w:val="3"/>
              </w:rPr>
            </w:pPr>
            <w:r>
              <w:rPr>
                <w:rFonts w:ascii="Myriad Pro" w:eastAsia="Calibri" w:hAnsi="Myriad Pro" w:cs="Arial"/>
                <w:kern w:val="3"/>
              </w:rPr>
              <w:lastRenderedPageBreak/>
              <w:t xml:space="preserve">Revoir la nomenclature du flux attribué à la DGRAD, il pourrait plutôt s’agir de la </w:t>
            </w:r>
            <w:r w:rsidRPr="00470252">
              <w:rPr>
                <w:rFonts w:ascii="Myriad Pro" w:eastAsia="Calibri" w:hAnsi="Myriad Pro" w:cs="Arial"/>
                <w:iCs/>
                <w:kern w:val="3"/>
              </w:rPr>
              <w:lastRenderedPageBreak/>
              <w:t>Taxe</w:t>
            </w:r>
            <w:r w:rsidRPr="00470252">
              <w:rPr>
                <w:rFonts w:ascii="Myriad Pro" w:eastAsia="Calibri" w:hAnsi="Myriad Pro" w:cs="Arial"/>
                <w:kern w:val="3"/>
              </w:rPr>
              <w:t xml:space="preserve"> sur l'autorisation d'exploitation des </w:t>
            </w:r>
            <w:r w:rsidRPr="00470252">
              <w:rPr>
                <w:rFonts w:ascii="Myriad Pro" w:eastAsia="Calibri" w:hAnsi="Myriad Pro" w:cs="Arial"/>
                <w:iCs/>
                <w:kern w:val="3"/>
              </w:rPr>
              <w:t>eaux</w:t>
            </w:r>
            <w:r w:rsidRPr="00470252">
              <w:rPr>
                <w:rFonts w:ascii="Myriad Pro" w:eastAsia="Calibri" w:hAnsi="Myriad Pro" w:cs="Arial"/>
                <w:kern w:val="3"/>
              </w:rPr>
              <w:t xml:space="preserve"> naturelles des </w:t>
            </w:r>
            <w:r w:rsidRPr="00470252">
              <w:rPr>
                <w:rFonts w:ascii="Myriad Pro" w:eastAsia="Calibri" w:hAnsi="Myriad Pro" w:cs="Arial"/>
                <w:iCs/>
                <w:kern w:val="3"/>
              </w:rPr>
              <w:t>fleuves et des lacs</w:t>
            </w:r>
            <w:r>
              <w:rPr>
                <w:rFonts w:ascii="Myriad Pro" w:eastAsia="Calibri" w:hAnsi="Myriad Pro" w:cs="Arial"/>
                <w:kern w:val="3"/>
              </w:rPr>
              <w:t xml:space="preserve"> laquelle est  souvent payée par MUMI pour ses activités en  dehors de son carré minier. Ce n’est donc pas une taxe spécifique au secteur minier et ne devrait pas, ainsi, retenu repris dans le cadrage</w:t>
            </w:r>
          </w:p>
          <w:p w:rsidR="008E1B3F" w:rsidRPr="001B2972" w:rsidRDefault="008E1B3F" w:rsidP="00A17F79">
            <w:pPr>
              <w:suppressLineNumbers/>
              <w:suppressAutoHyphens/>
              <w:autoSpaceDN w:val="0"/>
              <w:spacing w:after="200" w:line="276" w:lineRule="auto"/>
              <w:textAlignment w:val="baseline"/>
              <w:rPr>
                <w:rFonts w:ascii="Myriad Pro" w:eastAsia="Calibri" w:hAnsi="Myriad Pro" w:cs="Arial"/>
                <w:kern w:val="3"/>
              </w:rPr>
            </w:pPr>
          </w:p>
        </w:tc>
        <w:tc>
          <w:tcPr>
            <w:tcW w:w="19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E1B3F" w:rsidRPr="001B2972" w:rsidRDefault="008E1B3F" w:rsidP="00A17F79">
            <w:pPr>
              <w:suppressLineNumbers/>
              <w:suppressAutoHyphens/>
              <w:autoSpaceDN w:val="0"/>
              <w:spacing w:after="200" w:line="276" w:lineRule="auto"/>
              <w:textAlignment w:val="baseline"/>
              <w:rPr>
                <w:rFonts w:ascii="Myriad Pro" w:eastAsia="Calibri" w:hAnsi="Myriad Pro" w:cs="Arial"/>
                <w:kern w:val="3"/>
              </w:rPr>
            </w:pPr>
          </w:p>
        </w:tc>
      </w:tr>
      <w:tr w:rsidR="008E1B3F" w:rsidRPr="001B2972" w:rsidTr="00A17F79">
        <w:trPr>
          <w:trHeight w:val="2614"/>
        </w:trPr>
        <w:tc>
          <w:tcPr>
            <w:tcW w:w="2410" w:type="dxa"/>
            <w:tcBorders>
              <w:left w:val="single" w:sz="2" w:space="0" w:color="000000"/>
              <w:bottom w:val="single" w:sz="2" w:space="0" w:color="000000"/>
            </w:tcBorders>
            <w:shd w:val="clear" w:color="auto" w:fill="FFFF99"/>
            <w:tcMar>
              <w:top w:w="55" w:type="dxa"/>
              <w:left w:w="55" w:type="dxa"/>
              <w:bottom w:w="55" w:type="dxa"/>
              <w:right w:w="55" w:type="dxa"/>
            </w:tcMar>
          </w:tcPr>
          <w:p w:rsidR="008E1B3F" w:rsidRPr="001B2972" w:rsidRDefault="008E1B3F" w:rsidP="00A17F79">
            <w:pPr>
              <w:shd w:val="clear" w:color="auto" w:fill="FFFFFF"/>
              <w:suppressAutoHyphens/>
              <w:autoSpaceDN w:val="0"/>
              <w:spacing w:after="0" w:line="240" w:lineRule="auto"/>
              <w:textAlignment w:val="baseline"/>
              <w:rPr>
                <w:rFonts w:ascii="Myriad Pro" w:eastAsia="Calibri" w:hAnsi="Myriad Pro" w:cs="Arial"/>
                <w:kern w:val="3"/>
                <w:sz w:val="20"/>
              </w:rPr>
            </w:pPr>
            <w:r w:rsidRPr="001B2972">
              <w:rPr>
                <w:rFonts w:ascii="Myriad Pro" w:eastAsia="Calibri" w:hAnsi="Myriad Pro" w:cs="Arial"/>
                <w:kern w:val="3"/>
                <w:sz w:val="20"/>
              </w:rPr>
              <w:lastRenderedPageBreak/>
              <w:t>Nature et importance des écarts</w:t>
            </w:r>
          </w:p>
        </w:tc>
        <w:tc>
          <w:tcPr>
            <w:tcW w:w="3271"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A ce jour, les Régies Financières s’attèlent  à résorber les écarts notamment les écarts positifs.</w:t>
            </w: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A titre d’exemple, la DGRAD à justifier les écarts suivants :</w:t>
            </w:r>
          </w:p>
          <w:p w:rsidR="008E1B3F" w:rsidRDefault="008E1B3F" w:rsidP="008E1B3F">
            <w:pPr>
              <w:pStyle w:val="Paragraphedeliste"/>
              <w:numPr>
                <w:ilvl w:val="0"/>
                <w:numId w:val="3"/>
              </w:num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 xml:space="preserve">KIBALI : </w:t>
            </w:r>
          </w:p>
          <w:p w:rsidR="008E1B3F" w:rsidRDefault="008E1B3F" w:rsidP="008E1B3F">
            <w:pPr>
              <w:pStyle w:val="Paragraphedeliste"/>
              <w:numPr>
                <w:ilvl w:val="0"/>
                <w:numId w:val="2"/>
              </w:num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DSA : 1. 122. 228. 461 CDF</w:t>
            </w:r>
          </w:p>
          <w:p w:rsidR="008E1B3F" w:rsidRDefault="008E1B3F" w:rsidP="008E1B3F">
            <w:pPr>
              <w:pStyle w:val="Paragraphedeliste"/>
              <w:numPr>
                <w:ilvl w:val="0"/>
                <w:numId w:val="2"/>
              </w:num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RM : 4.945. 306 USD</w:t>
            </w:r>
          </w:p>
          <w:p w:rsidR="008E1B3F" w:rsidRDefault="008E1B3F" w:rsidP="008E1B3F">
            <w:pPr>
              <w:pStyle w:val="Paragraphedeliste"/>
              <w:numPr>
                <w:ilvl w:val="0"/>
                <w:numId w:val="2"/>
              </w:num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Pénalités DGRAD : (Hors périmètre : secteur du travail) 149. 683.585 CDF</w:t>
            </w:r>
          </w:p>
          <w:p w:rsidR="008E1B3F" w:rsidRDefault="008E1B3F" w:rsidP="008E1B3F">
            <w:pPr>
              <w:pStyle w:val="Paragraphedeliste"/>
              <w:numPr>
                <w:ilvl w:val="0"/>
                <w:numId w:val="2"/>
              </w:num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 xml:space="preserve">Pénalités Trésor (Hors périmètre : secteur travail) 429. 984. 577, 12 CDF </w:t>
            </w:r>
          </w:p>
          <w:p w:rsidR="008E1B3F" w:rsidRDefault="008E1B3F" w:rsidP="008E1B3F">
            <w:pPr>
              <w:pStyle w:val="Paragraphedeliste"/>
              <w:numPr>
                <w:ilvl w:val="0"/>
                <w:numId w:val="3"/>
              </w:num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 xml:space="preserve">KCC :  </w:t>
            </w:r>
          </w:p>
          <w:p w:rsidR="008E1B3F" w:rsidRPr="00426FC9" w:rsidRDefault="008E1B3F" w:rsidP="008E1B3F">
            <w:pPr>
              <w:pStyle w:val="Paragraphedeliste"/>
              <w:numPr>
                <w:ilvl w:val="0"/>
                <w:numId w:val="4"/>
              </w:numPr>
              <w:suppressLineNumbers/>
              <w:suppressAutoHyphens/>
              <w:autoSpaceDN w:val="0"/>
              <w:spacing w:after="200" w:line="276" w:lineRule="auto"/>
              <w:ind w:left="694"/>
              <w:textAlignment w:val="baseline"/>
              <w:rPr>
                <w:rFonts w:ascii="Myriad Pro" w:eastAsia="Calibri" w:hAnsi="Myriad Pro" w:cs="Arial"/>
                <w:kern w:val="3"/>
              </w:rPr>
            </w:pPr>
            <w:r>
              <w:rPr>
                <w:rFonts w:ascii="Myriad Pro" w:eastAsia="Calibri" w:hAnsi="Myriad Pro" w:cs="Arial"/>
                <w:kern w:val="3"/>
              </w:rPr>
              <w:t>RM (Hors périmètre payés en 2015) 1.422.795. 514 CDF</w:t>
            </w:r>
          </w:p>
        </w:tc>
        <w:tc>
          <w:tcPr>
            <w:tcW w:w="2756"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Pr="001B2972" w:rsidRDefault="008E1B3F" w:rsidP="00A17F79">
            <w:p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 xml:space="preserve">Les Régies souhaitent recevoir les détails des déclarations des entreprises afin justifier les écarts persistants après les premiers ajustements </w:t>
            </w:r>
          </w:p>
        </w:tc>
        <w:tc>
          <w:tcPr>
            <w:tcW w:w="19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E1B3F" w:rsidRPr="001B2972" w:rsidRDefault="008E1B3F" w:rsidP="00A17F79">
            <w:pPr>
              <w:suppressLineNumbers/>
              <w:suppressAutoHyphens/>
              <w:autoSpaceDN w:val="0"/>
              <w:spacing w:after="200" w:line="276" w:lineRule="auto"/>
              <w:textAlignment w:val="baseline"/>
              <w:rPr>
                <w:rFonts w:ascii="Myriad Pro" w:eastAsia="Calibri" w:hAnsi="Myriad Pro" w:cs="Arial"/>
                <w:kern w:val="3"/>
              </w:rPr>
            </w:pPr>
          </w:p>
        </w:tc>
      </w:tr>
      <w:tr w:rsidR="008E1B3F" w:rsidRPr="001B2972" w:rsidTr="00A17F79">
        <w:tc>
          <w:tcPr>
            <w:tcW w:w="2410" w:type="dxa"/>
            <w:tcBorders>
              <w:left w:val="single" w:sz="2" w:space="0" w:color="000000"/>
              <w:bottom w:val="single" w:sz="2" w:space="0" w:color="000000"/>
            </w:tcBorders>
            <w:shd w:val="clear" w:color="auto" w:fill="FFFF99"/>
            <w:tcMar>
              <w:top w:w="55" w:type="dxa"/>
              <w:left w:w="55" w:type="dxa"/>
              <w:bottom w:w="55" w:type="dxa"/>
              <w:right w:w="55" w:type="dxa"/>
            </w:tcMar>
          </w:tcPr>
          <w:p w:rsidR="008E1B3F" w:rsidRPr="001B2972" w:rsidRDefault="008E1B3F" w:rsidP="00A17F79">
            <w:pPr>
              <w:shd w:val="clear" w:color="auto" w:fill="FFFFFF"/>
              <w:suppressAutoHyphens/>
              <w:autoSpaceDN w:val="0"/>
              <w:spacing w:after="0" w:line="240" w:lineRule="auto"/>
              <w:textAlignment w:val="baseline"/>
              <w:rPr>
                <w:rFonts w:ascii="Myriad Pro" w:eastAsia="Calibri" w:hAnsi="Myriad Pro" w:cs="Arial"/>
                <w:kern w:val="3"/>
              </w:rPr>
            </w:pPr>
            <w:r w:rsidRPr="001B2972">
              <w:rPr>
                <w:rFonts w:ascii="Myriad Pro" w:eastAsia="Calibri" w:hAnsi="Myriad Pro" w:cs="Times New Roman"/>
                <w:color w:val="000000"/>
                <w:kern w:val="3"/>
                <w:sz w:val="20"/>
                <w:szCs w:val="20"/>
              </w:rPr>
              <w:t>Cadre légal et régime fiscal applicables aux industries extractives </w:t>
            </w:r>
          </w:p>
        </w:tc>
        <w:tc>
          <w:tcPr>
            <w:tcW w:w="3271"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Pr="005F3A4C" w:rsidRDefault="008E1B3F" w:rsidP="008E1B3F">
            <w:pPr>
              <w:pStyle w:val="Paragraphedeliste"/>
              <w:numPr>
                <w:ilvl w:val="0"/>
                <w:numId w:val="5"/>
              </w:numPr>
              <w:shd w:val="clear" w:color="auto" w:fill="FFFFFF"/>
              <w:suppressAutoHyphens/>
              <w:autoSpaceDN w:val="0"/>
              <w:spacing w:after="0" w:line="240" w:lineRule="auto"/>
              <w:ind w:left="704" w:hanging="284"/>
              <w:textAlignment w:val="baseline"/>
              <w:rPr>
                <w:rFonts w:ascii="Myriad Pro" w:eastAsia="Calibri" w:hAnsi="Myriad Pro" w:cs="Arial"/>
                <w:color w:val="000000"/>
                <w:kern w:val="3"/>
                <w:sz w:val="20"/>
                <w:szCs w:val="20"/>
              </w:rPr>
            </w:pPr>
            <w:r w:rsidRPr="00E765E6">
              <w:rPr>
                <w:rFonts w:ascii="Myriad Pro" w:eastAsia="Calibri" w:hAnsi="Myriad Pro" w:cs="Arial"/>
                <w:kern w:val="3"/>
              </w:rPr>
              <w:t>Mettre en exergue le Règlement</w:t>
            </w:r>
            <w:r>
              <w:rPr>
                <w:rFonts w:ascii="Myriad Pro" w:eastAsia="Calibri" w:hAnsi="Myriad Pro" w:cs="Arial"/>
                <w:kern w:val="3"/>
              </w:rPr>
              <w:t xml:space="preserve"> Minier</w:t>
            </w:r>
            <w:r w:rsidRPr="00E765E6">
              <w:rPr>
                <w:rFonts w:ascii="Myriad Pro" w:eastAsia="Calibri" w:hAnsi="Myriad Pro" w:cs="Arial"/>
                <w:kern w:val="3"/>
              </w:rPr>
              <w:t xml:space="preserve"> parmi</w:t>
            </w:r>
            <w:r>
              <w:rPr>
                <w:rFonts w:ascii="Myriad Pro" w:eastAsia="Calibri" w:hAnsi="Myriad Pro" w:cs="Arial"/>
                <w:kern w:val="3"/>
              </w:rPr>
              <w:t xml:space="preserve"> les textes qui régissent le secteur minier</w:t>
            </w:r>
          </w:p>
          <w:p w:rsidR="008E1B3F" w:rsidRPr="005F3A4C" w:rsidRDefault="008E1B3F" w:rsidP="00A17F79">
            <w:pPr>
              <w:pStyle w:val="Paragraphedeliste"/>
              <w:shd w:val="clear" w:color="auto" w:fill="FFFFFF"/>
              <w:suppressAutoHyphens/>
              <w:autoSpaceDN w:val="0"/>
              <w:spacing w:after="0" w:line="240" w:lineRule="auto"/>
              <w:ind w:left="704"/>
              <w:textAlignment w:val="baseline"/>
              <w:rPr>
                <w:rFonts w:ascii="Myriad Pro" w:eastAsia="Calibri" w:hAnsi="Myriad Pro" w:cs="Arial"/>
                <w:color w:val="000000"/>
                <w:kern w:val="3"/>
                <w:sz w:val="20"/>
                <w:szCs w:val="20"/>
              </w:rPr>
            </w:pPr>
          </w:p>
          <w:p w:rsidR="008E1B3F" w:rsidRPr="00E765E6" w:rsidRDefault="008E1B3F" w:rsidP="008E1B3F">
            <w:pPr>
              <w:pStyle w:val="Paragraphedeliste"/>
              <w:numPr>
                <w:ilvl w:val="0"/>
                <w:numId w:val="5"/>
              </w:numPr>
              <w:shd w:val="clear" w:color="auto" w:fill="FFFFFF"/>
              <w:suppressAutoHyphens/>
              <w:autoSpaceDN w:val="0"/>
              <w:spacing w:after="0" w:line="240" w:lineRule="auto"/>
              <w:ind w:left="704" w:hanging="284"/>
              <w:textAlignment w:val="baseline"/>
              <w:rPr>
                <w:rFonts w:ascii="Myriad Pro" w:eastAsia="Calibri" w:hAnsi="Myriad Pro" w:cs="Arial"/>
                <w:color w:val="000000"/>
                <w:kern w:val="3"/>
                <w:sz w:val="20"/>
                <w:szCs w:val="20"/>
              </w:rPr>
            </w:pPr>
            <w:r w:rsidRPr="005F3A4C">
              <w:rPr>
                <w:rFonts w:ascii="Myriad Pro" w:eastAsia="Calibri" w:hAnsi="Myriad Pro" w:cs="Arial"/>
                <w:kern w:val="3"/>
              </w:rPr>
              <w:t>Ajouter parmi les organes de régulation du secteur minier, la Direction d’Investigation</w:t>
            </w:r>
          </w:p>
        </w:tc>
        <w:tc>
          <w:tcPr>
            <w:tcW w:w="2756"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Pr="005F3A4C" w:rsidRDefault="008E1B3F" w:rsidP="008E1B3F">
            <w:pPr>
              <w:pStyle w:val="Paragraphedeliste"/>
              <w:numPr>
                <w:ilvl w:val="0"/>
                <w:numId w:val="5"/>
              </w:numPr>
              <w:shd w:val="clear" w:color="auto" w:fill="FFFFFF"/>
              <w:suppressAutoHyphens/>
              <w:ind w:left="395"/>
              <w:textAlignment w:val="baseline"/>
              <w:rPr>
                <w:rFonts w:ascii="Myriad Pro" w:eastAsia="Calibri" w:hAnsi="Myriad Pro" w:cs="Arial"/>
                <w:kern w:val="3"/>
              </w:rPr>
            </w:pPr>
            <w:r>
              <w:rPr>
                <w:rFonts w:ascii="Myriad Pro" w:eastAsia="Calibri" w:hAnsi="Myriad Pro" w:cs="Arial"/>
                <w:kern w:val="3"/>
              </w:rPr>
              <w:t>Au début du 3</w:t>
            </w:r>
            <w:r w:rsidRPr="00E765E6">
              <w:rPr>
                <w:rFonts w:ascii="Myriad Pro" w:eastAsia="Calibri" w:hAnsi="Myriad Pro" w:cs="Arial"/>
                <w:kern w:val="3"/>
                <w:vertAlign w:val="superscript"/>
              </w:rPr>
              <w:t>ème</w:t>
            </w:r>
            <w:r>
              <w:rPr>
                <w:rFonts w:ascii="Myriad Pro" w:eastAsia="Calibri" w:hAnsi="Myriad Pro" w:cs="Arial"/>
                <w:kern w:val="3"/>
              </w:rPr>
              <w:t xml:space="preserve"> paragraphe du point </w:t>
            </w:r>
            <w:r w:rsidRPr="005F3A4C">
              <w:rPr>
                <w:rFonts w:ascii="Myriad Pro" w:eastAsia="Calibri" w:hAnsi="Myriad Pro" w:cs="Arial"/>
                <w:kern w:val="3"/>
              </w:rPr>
              <w:t xml:space="preserve">4.2.3 Cadre légal et fiscal: </w:t>
            </w:r>
            <w:r>
              <w:rPr>
                <w:rFonts w:ascii="Myriad Pro" w:eastAsia="Calibri" w:hAnsi="Myriad Pro" w:cs="Arial"/>
                <w:kern w:val="3"/>
              </w:rPr>
              <w:t xml:space="preserve">écrire : </w:t>
            </w:r>
            <w:r w:rsidRPr="005F3A4C">
              <w:rPr>
                <w:rFonts w:ascii="Myriad Pro" w:eastAsia="Calibri" w:hAnsi="Myriad Pro" w:cs="Arial"/>
                <w:kern w:val="3"/>
              </w:rPr>
              <w:t>«</w:t>
            </w:r>
            <w:r>
              <w:rPr>
                <w:rFonts w:ascii="Myriad Pro" w:eastAsia="Calibri" w:hAnsi="Myriad Pro" w:cs="Arial"/>
                <w:kern w:val="3"/>
              </w:rPr>
              <w:t xml:space="preserve"> En plus de Code Minier </w:t>
            </w:r>
            <w:r w:rsidRPr="005F3A4C">
              <w:rPr>
                <w:rFonts w:ascii="Myriad Pro" w:eastAsia="Calibri" w:hAnsi="Myriad Pro" w:cs="Arial"/>
                <w:color w:val="FF0000"/>
                <w:kern w:val="3"/>
              </w:rPr>
              <w:t>et du Règlement Minier</w:t>
            </w:r>
            <w:r>
              <w:rPr>
                <w:rFonts w:ascii="Myriad Pro" w:eastAsia="Calibri" w:hAnsi="Myriad Pro" w:cs="Arial"/>
                <w:color w:val="FF0000"/>
                <w:kern w:val="3"/>
              </w:rPr>
              <w:t xml:space="preserve">, </w:t>
            </w:r>
            <w:r w:rsidRPr="005F3A4C">
              <w:rPr>
                <w:rFonts w:ascii="Myriad Pro" w:eastAsia="Calibri" w:hAnsi="Myriad Pro" w:cs="Arial"/>
                <w:kern w:val="3"/>
              </w:rPr>
              <w:t>…</w:t>
            </w:r>
            <w:r>
              <w:rPr>
                <w:rFonts w:ascii="Myriad Pro" w:eastAsia="Calibri" w:hAnsi="Myriad Pro" w:cs="Arial"/>
                <w:kern w:val="3"/>
              </w:rPr>
              <w:t> » (Page 44)</w:t>
            </w:r>
          </w:p>
          <w:p w:rsidR="008E1B3F" w:rsidRPr="005F3A4C" w:rsidRDefault="008E1B3F" w:rsidP="008E1B3F">
            <w:pPr>
              <w:pStyle w:val="Paragraphedeliste"/>
              <w:numPr>
                <w:ilvl w:val="0"/>
                <w:numId w:val="5"/>
              </w:numPr>
              <w:shd w:val="clear" w:color="auto" w:fill="FFFFFF"/>
              <w:suppressAutoHyphens/>
              <w:ind w:left="395"/>
              <w:textAlignment w:val="baseline"/>
              <w:rPr>
                <w:rFonts w:ascii="Myriad Pro" w:eastAsia="Calibri" w:hAnsi="Myriad Pro" w:cs="Arial"/>
                <w:color w:val="FF0000"/>
                <w:kern w:val="3"/>
              </w:rPr>
            </w:pPr>
            <w:r>
              <w:rPr>
                <w:rFonts w:ascii="Myriad Pro" w:eastAsia="Calibri" w:hAnsi="Myriad Pro" w:cs="Arial"/>
                <w:kern w:val="3"/>
              </w:rPr>
              <w:t>Ajouter un point i : </w:t>
            </w:r>
            <w:r w:rsidRPr="005F3A4C">
              <w:rPr>
                <w:rFonts w:ascii="Myriad Pro" w:eastAsia="Calibri" w:hAnsi="Myriad Pro" w:cs="Arial"/>
                <w:color w:val="FF0000"/>
                <w:kern w:val="3"/>
              </w:rPr>
              <w:t xml:space="preserve">« La Direction des Investigations a pour tâches notamment de :  </w:t>
            </w:r>
          </w:p>
          <w:p w:rsidR="008E1B3F" w:rsidRPr="005F3A4C" w:rsidRDefault="008E1B3F" w:rsidP="00A17F79">
            <w:pPr>
              <w:pStyle w:val="Paragraphedeliste"/>
              <w:shd w:val="clear" w:color="auto" w:fill="FFFFFF"/>
              <w:suppressAutoHyphens/>
              <w:ind w:left="395"/>
              <w:textAlignment w:val="baseline"/>
              <w:rPr>
                <w:rFonts w:ascii="Myriad Pro" w:eastAsia="Calibri" w:hAnsi="Myriad Pro" w:cs="Arial"/>
                <w:color w:val="FF0000"/>
                <w:kern w:val="3"/>
              </w:rPr>
            </w:pPr>
            <w:r w:rsidRPr="005F3A4C">
              <w:rPr>
                <w:rFonts w:ascii="Myriad Pro" w:eastAsia="Calibri" w:hAnsi="Myriad Pro" w:cs="Arial"/>
                <w:color w:val="FF0000"/>
                <w:kern w:val="3"/>
              </w:rPr>
              <w:t>a) prévenir, rechercher,  constater et réprimer les infractions prévues par le Code Minier et ses</w:t>
            </w:r>
          </w:p>
          <w:p w:rsidR="008E1B3F" w:rsidRPr="005F3A4C" w:rsidRDefault="008E1B3F" w:rsidP="00A17F79">
            <w:pPr>
              <w:pStyle w:val="Paragraphedeliste"/>
              <w:shd w:val="clear" w:color="auto" w:fill="FFFFFF"/>
              <w:suppressAutoHyphens/>
              <w:ind w:left="395"/>
              <w:textAlignment w:val="baseline"/>
              <w:rPr>
                <w:rFonts w:ascii="Myriad Pro" w:eastAsia="Calibri" w:hAnsi="Myriad Pro" w:cs="Arial"/>
                <w:color w:val="FF0000"/>
                <w:kern w:val="3"/>
              </w:rPr>
            </w:pPr>
            <w:r w:rsidRPr="005F3A4C">
              <w:rPr>
                <w:rFonts w:ascii="Myriad Pro" w:eastAsia="Calibri" w:hAnsi="Myriad Pro" w:cs="Arial"/>
                <w:color w:val="FF0000"/>
                <w:kern w:val="3"/>
              </w:rPr>
              <w:t xml:space="preserve">mesures d’application, à l’exclusion des manquements qui relèvent de la compétence des </w:t>
            </w:r>
          </w:p>
          <w:p w:rsidR="008E1B3F" w:rsidRPr="005F3A4C" w:rsidRDefault="008E1B3F" w:rsidP="00A17F79">
            <w:pPr>
              <w:pStyle w:val="Paragraphedeliste"/>
              <w:shd w:val="clear" w:color="auto" w:fill="FFFFFF"/>
              <w:suppressAutoHyphens/>
              <w:ind w:left="395"/>
              <w:textAlignment w:val="baseline"/>
              <w:rPr>
                <w:rFonts w:ascii="Myriad Pro" w:eastAsia="Calibri" w:hAnsi="Myriad Pro" w:cs="Arial"/>
                <w:color w:val="FF0000"/>
                <w:kern w:val="3"/>
              </w:rPr>
            </w:pPr>
            <w:r w:rsidRPr="005F3A4C">
              <w:rPr>
                <w:rFonts w:ascii="Myriad Pro" w:eastAsia="Calibri" w:hAnsi="Myriad Pro" w:cs="Arial"/>
                <w:color w:val="FF0000"/>
                <w:kern w:val="3"/>
              </w:rPr>
              <w:t>Directions de la Géologie, des Mines et de la Protection de l’Environnement Minier ;</w:t>
            </w:r>
          </w:p>
          <w:p w:rsidR="008E1B3F" w:rsidRDefault="008E1B3F" w:rsidP="00A17F79">
            <w:pPr>
              <w:pStyle w:val="Paragraphedeliste"/>
              <w:shd w:val="clear" w:color="auto" w:fill="FFFFFF"/>
              <w:suppressAutoHyphens/>
              <w:autoSpaceDN w:val="0"/>
              <w:spacing w:after="0" w:line="240" w:lineRule="auto"/>
              <w:ind w:left="395"/>
              <w:textAlignment w:val="baseline"/>
              <w:rPr>
                <w:rFonts w:ascii="Myriad Pro" w:eastAsia="Calibri" w:hAnsi="Myriad Pro" w:cs="Arial"/>
                <w:kern w:val="3"/>
              </w:rPr>
            </w:pPr>
            <w:r w:rsidRPr="005F3A4C">
              <w:rPr>
                <w:rFonts w:ascii="Myriad Pro" w:eastAsia="Calibri" w:hAnsi="Myriad Pro" w:cs="Arial"/>
                <w:color w:val="FF0000"/>
                <w:kern w:val="3"/>
              </w:rPr>
              <w:t>b) lutter contre la fraude et la contrebande minière sous toutes ses formes. </w:t>
            </w:r>
            <w:r>
              <w:rPr>
                <w:rFonts w:ascii="Myriad Pro" w:eastAsia="Calibri" w:hAnsi="Myriad Pro" w:cs="Arial"/>
                <w:kern w:val="3"/>
              </w:rPr>
              <w:t>» (Sources Règlement Minier article 12)</w:t>
            </w:r>
          </w:p>
          <w:p w:rsidR="008E1B3F" w:rsidRDefault="008E1B3F" w:rsidP="00A17F79">
            <w:pPr>
              <w:pStyle w:val="Paragraphedeliste"/>
              <w:shd w:val="clear" w:color="auto" w:fill="FFFFFF"/>
              <w:suppressAutoHyphens/>
              <w:autoSpaceDN w:val="0"/>
              <w:spacing w:after="0" w:line="240" w:lineRule="auto"/>
              <w:ind w:left="395"/>
              <w:textAlignment w:val="baseline"/>
              <w:rPr>
                <w:rFonts w:ascii="Myriad Pro" w:eastAsia="Calibri" w:hAnsi="Myriad Pro" w:cs="Arial"/>
                <w:kern w:val="3"/>
              </w:rPr>
            </w:pPr>
          </w:p>
          <w:p w:rsidR="008E1B3F" w:rsidRPr="00E765E6" w:rsidRDefault="008E1B3F" w:rsidP="00A17F79">
            <w:pPr>
              <w:pStyle w:val="Paragraphedeliste"/>
              <w:shd w:val="clear" w:color="auto" w:fill="FFFFFF"/>
              <w:suppressAutoHyphens/>
              <w:autoSpaceDN w:val="0"/>
              <w:spacing w:after="0" w:line="240" w:lineRule="auto"/>
              <w:ind w:left="395"/>
              <w:textAlignment w:val="baseline"/>
              <w:rPr>
                <w:rFonts w:ascii="Myriad Pro" w:eastAsia="Calibri" w:hAnsi="Myriad Pro" w:cs="Arial"/>
                <w:kern w:val="3"/>
              </w:rPr>
            </w:pPr>
          </w:p>
        </w:tc>
        <w:tc>
          <w:tcPr>
            <w:tcW w:w="19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E1B3F" w:rsidRPr="001B2972" w:rsidRDefault="008E1B3F" w:rsidP="00A17F79">
            <w:pPr>
              <w:suppressLineNumbers/>
              <w:suppressAutoHyphens/>
              <w:autoSpaceDN w:val="0"/>
              <w:spacing w:after="200" w:line="276" w:lineRule="auto"/>
              <w:textAlignment w:val="baseline"/>
              <w:rPr>
                <w:rFonts w:ascii="Myriad Pro" w:eastAsia="Calibri" w:hAnsi="Myriad Pro" w:cs="Arial"/>
                <w:kern w:val="3"/>
              </w:rPr>
            </w:pPr>
          </w:p>
        </w:tc>
      </w:tr>
      <w:tr w:rsidR="008E1B3F" w:rsidRPr="001B2972" w:rsidTr="00A17F79">
        <w:tc>
          <w:tcPr>
            <w:tcW w:w="2410" w:type="dxa"/>
            <w:tcBorders>
              <w:left w:val="single" w:sz="2" w:space="0" w:color="000000"/>
              <w:bottom w:val="single" w:sz="2" w:space="0" w:color="000000"/>
            </w:tcBorders>
            <w:shd w:val="clear" w:color="auto" w:fill="FFFF99"/>
            <w:tcMar>
              <w:top w:w="55" w:type="dxa"/>
              <w:left w:w="55" w:type="dxa"/>
              <w:bottom w:w="55" w:type="dxa"/>
              <w:right w:w="55" w:type="dxa"/>
            </w:tcMar>
          </w:tcPr>
          <w:p w:rsidR="008E1B3F" w:rsidRPr="001B2972" w:rsidRDefault="008E1B3F" w:rsidP="00A17F79">
            <w:pPr>
              <w:shd w:val="clear" w:color="auto" w:fill="FFFFFF"/>
              <w:suppressAutoHyphens/>
              <w:autoSpaceDN w:val="0"/>
              <w:spacing w:after="0" w:line="240" w:lineRule="auto"/>
              <w:textAlignment w:val="baseline"/>
              <w:rPr>
                <w:rFonts w:ascii="Myriad Pro" w:eastAsia="Calibri" w:hAnsi="Myriad Pro" w:cs="Arial"/>
                <w:color w:val="000000"/>
                <w:kern w:val="3"/>
                <w:sz w:val="20"/>
                <w:szCs w:val="20"/>
              </w:rPr>
            </w:pPr>
            <w:r w:rsidRPr="001B2972">
              <w:rPr>
                <w:rFonts w:ascii="Myriad Pro" w:eastAsia="Calibri" w:hAnsi="Myriad Pro" w:cs="Arial"/>
                <w:color w:val="000000"/>
                <w:kern w:val="3"/>
                <w:sz w:val="20"/>
                <w:szCs w:val="20"/>
              </w:rPr>
              <w:t>Participation de l’État dans les industries extractives</w:t>
            </w:r>
          </w:p>
        </w:tc>
        <w:tc>
          <w:tcPr>
            <w:tcW w:w="3271"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Default="008E1B3F" w:rsidP="00A17F79">
            <w:pPr>
              <w:pStyle w:val="Paragraphedeliste"/>
              <w:shd w:val="clear" w:color="auto" w:fill="FFFFFF"/>
              <w:suppressAutoHyphens/>
              <w:autoSpaceDN w:val="0"/>
              <w:spacing w:after="0" w:line="240" w:lineRule="auto"/>
              <w:ind w:left="289" w:hanging="274"/>
              <w:textAlignment w:val="baseline"/>
            </w:pPr>
            <w:r w:rsidRPr="005F3A4C">
              <w:rPr>
                <w:rFonts w:ascii="Myriad Pro" w:eastAsia="Calibri" w:hAnsi="Myriad Pro" w:cs="Arial"/>
                <w:kern w:val="3"/>
              </w:rPr>
              <w:t>Le Niveau d’application de l’Article 71 du Code Minier qui subordonne l’octroi du permis d’exploitation à la cession de 5% des parts du capital social de l’entreprise requérante</w:t>
            </w:r>
          </w:p>
          <w:p w:rsidR="008E1B3F" w:rsidRDefault="008E1B3F" w:rsidP="00A17F79">
            <w:pPr>
              <w:suppressLineNumbers/>
              <w:tabs>
                <w:tab w:val="left" w:pos="2335"/>
              </w:tabs>
              <w:suppressAutoHyphens/>
              <w:autoSpaceDN w:val="0"/>
              <w:spacing w:after="200" w:line="276" w:lineRule="auto"/>
              <w:textAlignment w:val="baseline"/>
            </w:pPr>
          </w:p>
          <w:p w:rsidR="008E1B3F" w:rsidRDefault="008E1B3F" w:rsidP="00A17F79">
            <w:pPr>
              <w:suppressLineNumbers/>
              <w:suppressAutoHyphens/>
              <w:autoSpaceDN w:val="0"/>
              <w:spacing w:after="200" w:line="276" w:lineRule="auto"/>
              <w:textAlignment w:val="baseline"/>
            </w:pPr>
          </w:p>
          <w:p w:rsidR="008E1B3F" w:rsidRPr="001B2972" w:rsidRDefault="008E1B3F" w:rsidP="00A17F79">
            <w:pPr>
              <w:suppressLineNumbers/>
              <w:suppressAutoHyphens/>
              <w:autoSpaceDN w:val="0"/>
              <w:spacing w:after="200" w:line="276" w:lineRule="auto"/>
              <w:textAlignment w:val="baseline"/>
              <w:rPr>
                <w:rFonts w:ascii="Myriad Pro" w:eastAsia="Calibri" w:hAnsi="Myriad Pro" w:cs="Arial"/>
                <w:kern w:val="3"/>
              </w:rPr>
            </w:pPr>
          </w:p>
        </w:tc>
        <w:tc>
          <w:tcPr>
            <w:tcW w:w="2756"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Pr="005F3A4C" w:rsidRDefault="008E1B3F" w:rsidP="00A17F79">
            <w:pPr>
              <w:pStyle w:val="Paragraphedeliste"/>
              <w:shd w:val="clear" w:color="auto" w:fill="FFFFFF"/>
              <w:suppressAutoHyphens/>
              <w:autoSpaceDN w:val="0"/>
              <w:spacing w:after="0" w:line="240" w:lineRule="auto"/>
              <w:ind w:left="289" w:hanging="274"/>
              <w:textAlignment w:val="baseline"/>
              <w:rPr>
                <w:rFonts w:ascii="Myriad Pro" w:eastAsia="Calibri" w:hAnsi="Myriad Pro" w:cs="Arial"/>
                <w:kern w:val="3"/>
              </w:rPr>
            </w:pPr>
            <w:r>
              <w:rPr>
                <w:rFonts w:ascii="Myriad Pro" w:eastAsia="Calibri" w:hAnsi="Myriad Pro" w:cs="Arial"/>
                <w:kern w:val="3"/>
              </w:rPr>
              <w:t xml:space="preserve">     E</w:t>
            </w:r>
            <w:r w:rsidRPr="00EE2308">
              <w:rPr>
                <w:rFonts w:ascii="Myriad Pro" w:eastAsia="Calibri" w:hAnsi="Myriad Pro" w:cs="Arial"/>
                <w:kern w:val="3"/>
              </w:rPr>
              <w:t>valuer le niveau d’application de cette disposition et faire des recommandations pour son application effective.</w:t>
            </w:r>
          </w:p>
        </w:tc>
        <w:tc>
          <w:tcPr>
            <w:tcW w:w="19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E1B3F" w:rsidRPr="001B2972" w:rsidRDefault="008E1B3F" w:rsidP="00A17F79">
            <w:pPr>
              <w:suppressLineNumbers/>
              <w:suppressAutoHyphens/>
              <w:autoSpaceDN w:val="0"/>
              <w:spacing w:after="200" w:line="276" w:lineRule="auto"/>
              <w:textAlignment w:val="baseline"/>
              <w:rPr>
                <w:rFonts w:ascii="Myriad Pro" w:eastAsia="Calibri" w:hAnsi="Myriad Pro" w:cs="Arial"/>
                <w:kern w:val="3"/>
              </w:rPr>
            </w:pPr>
          </w:p>
        </w:tc>
      </w:tr>
      <w:tr w:rsidR="008E1B3F" w:rsidRPr="001B2972" w:rsidTr="00A17F79">
        <w:tc>
          <w:tcPr>
            <w:tcW w:w="2410" w:type="dxa"/>
            <w:tcBorders>
              <w:left w:val="single" w:sz="2" w:space="0" w:color="000000"/>
              <w:bottom w:val="single" w:sz="2" w:space="0" w:color="000000"/>
            </w:tcBorders>
            <w:shd w:val="clear" w:color="auto" w:fill="FFFF99"/>
            <w:tcMar>
              <w:top w:w="55" w:type="dxa"/>
              <w:left w:w="55" w:type="dxa"/>
              <w:bottom w:w="55" w:type="dxa"/>
              <w:right w:w="55" w:type="dxa"/>
            </w:tcMar>
          </w:tcPr>
          <w:p w:rsidR="008E1B3F" w:rsidRPr="001B2972" w:rsidRDefault="008E1B3F" w:rsidP="00A17F79">
            <w:pPr>
              <w:shd w:val="clear" w:color="auto" w:fill="FFFFFF"/>
              <w:suppressAutoHyphens/>
              <w:autoSpaceDN w:val="0"/>
              <w:spacing w:after="0" w:line="240" w:lineRule="auto"/>
              <w:textAlignment w:val="baseline"/>
              <w:rPr>
                <w:rFonts w:ascii="Myriad Pro" w:eastAsia="Calibri" w:hAnsi="Myriad Pro" w:cs="Arial"/>
                <w:kern w:val="3"/>
                <w:sz w:val="20"/>
              </w:rPr>
            </w:pPr>
            <w:r w:rsidRPr="001B2972">
              <w:rPr>
                <w:rFonts w:ascii="Myriad Pro" w:eastAsia="Calibri" w:hAnsi="Myriad Pro" w:cs="Arial"/>
                <w:kern w:val="3"/>
                <w:sz w:val="20"/>
              </w:rPr>
              <w:t>Propriété Réelle</w:t>
            </w:r>
          </w:p>
        </w:tc>
        <w:tc>
          <w:tcPr>
            <w:tcW w:w="3271"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Pr="00EE2308" w:rsidRDefault="008E1B3F" w:rsidP="00A17F79">
            <w:pPr>
              <w:suppressLineNumbers/>
              <w:suppressAutoHyphens/>
              <w:autoSpaceDN w:val="0"/>
              <w:spacing w:after="200" w:line="276" w:lineRule="auto"/>
              <w:ind w:firstLine="25"/>
              <w:jc w:val="both"/>
              <w:textAlignment w:val="baseline"/>
              <w:rPr>
                <w:rFonts w:ascii="Myriad Pro" w:eastAsia="Calibri" w:hAnsi="Myriad Pro" w:cs="Arial"/>
                <w:kern w:val="3"/>
              </w:rPr>
            </w:pPr>
            <w:r>
              <w:rPr>
                <w:rFonts w:ascii="Myriad Pro" w:eastAsia="Calibri" w:hAnsi="Myriad Pro" w:cs="Arial"/>
                <w:kern w:val="3"/>
              </w:rPr>
              <w:t xml:space="preserve">Certaines </w:t>
            </w:r>
            <w:r w:rsidRPr="00EE2308">
              <w:rPr>
                <w:rFonts w:ascii="Myriad Pro" w:eastAsia="Calibri" w:hAnsi="Myriad Pro" w:cs="Arial"/>
                <w:kern w:val="3"/>
              </w:rPr>
              <w:t>entreprises minières n’ont pas soumis des données sur la propriété réelle</w:t>
            </w:r>
          </w:p>
        </w:tc>
        <w:tc>
          <w:tcPr>
            <w:tcW w:w="2756"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Pr="00EE2308" w:rsidRDefault="008E1B3F" w:rsidP="00A17F79">
            <w:pPr>
              <w:suppressLineNumbers/>
              <w:suppressAutoHyphens/>
              <w:autoSpaceDN w:val="0"/>
              <w:spacing w:after="200" w:line="276" w:lineRule="auto"/>
              <w:textAlignment w:val="baseline"/>
              <w:rPr>
                <w:rFonts w:ascii="Myriad Pro" w:eastAsia="Calibri" w:hAnsi="Myriad Pro" w:cs="Arial"/>
                <w:kern w:val="3"/>
              </w:rPr>
            </w:pPr>
          </w:p>
        </w:tc>
        <w:tc>
          <w:tcPr>
            <w:tcW w:w="19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E1B3F" w:rsidRPr="00EE2308" w:rsidRDefault="008E1B3F" w:rsidP="00A17F79">
            <w:p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Les AFE du Katanga et la Division Provinciale des Mines souhaitent qu’une politique de la divulgation de la propriété réelle soit définie notamment par</w:t>
            </w:r>
            <w:r w:rsidR="00C66712">
              <w:rPr>
                <w:rFonts w:ascii="Myriad Pro" w:eastAsia="Calibri" w:hAnsi="Myriad Pro" w:cs="Arial"/>
                <w:kern w:val="3"/>
              </w:rPr>
              <w:t xml:space="preserve"> un texte de lois</w:t>
            </w:r>
          </w:p>
        </w:tc>
      </w:tr>
      <w:tr w:rsidR="008E1B3F" w:rsidRPr="001B2972" w:rsidTr="00A17F79">
        <w:tc>
          <w:tcPr>
            <w:tcW w:w="2410" w:type="dxa"/>
            <w:tcBorders>
              <w:left w:val="single" w:sz="2" w:space="0" w:color="000000"/>
              <w:bottom w:val="single" w:sz="2" w:space="0" w:color="000000"/>
            </w:tcBorders>
            <w:shd w:val="clear" w:color="auto" w:fill="FFFF99"/>
            <w:tcMar>
              <w:top w:w="55" w:type="dxa"/>
              <w:left w:w="55" w:type="dxa"/>
              <w:bottom w:w="55" w:type="dxa"/>
              <w:right w:w="55" w:type="dxa"/>
            </w:tcMar>
          </w:tcPr>
          <w:p w:rsidR="008E1B3F" w:rsidRPr="001B2972" w:rsidRDefault="008E1B3F" w:rsidP="00A17F79">
            <w:pPr>
              <w:shd w:val="clear" w:color="auto" w:fill="FFFFFF"/>
              <w:suppressAutoHyphens/>
              <w:autoSpaceDN w:val="0"/>
              <w:spacing w:after="0" w:line="240" w:lineRule="auto"/>
              <w:textAlignment w:val="baseline"/>
              <w:rPr>
                <w:rFonts w:ascii="Myriad Pro" w:eastAsia="Calibri" w:hAnsi="Myriad Pro" w:cs="Arial"/>
                <w:kern w:val="3"/>
                <w:sz w:val="20"/>
              </w:rPr>
            </w:pPr>
            <w:r>
              <w:rPr>
                <w:rFonts w:ascii="Myriad Pro" w:eastAsia="Calibri" w:hAnsi="Myriad Pro" w:cs="Arial"/>
                <w:kern w:val="3"/>
                <w:sz w:val="20"/>
              </w:rPr>
              <w:t xml:space="preserve">Constations &amp;Recommandations </w:t>
            </w:r>
          </w:p>
        </w:tc>
        <w:tc>
          <w:tcPr>
            <w:tcW w:w="3271"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Pr="00EE2308" w:rsidRDefault="008E1B3F" w:rsidP="008E1B3F">
            <w:pPr>
              <w:pStyle w:val="Paragraphedeliste"/>
              <w:numPr>
                <w:ilvl w:val="0"/>
                <w:numId w:val="6"/>
              </w:numPr>
              <w:suppressLineNumbers/>
              <w:suppressAutoHyphens/>
              <w:autoSpaceDN w:val="0"/>
              <w:spacing w:after="200" w:line="276" w:lineRule="auto"/>
              <w:jc w:val="both"/>
              <w:textAlignment w:val="baseline"/>
              <w:rPr>
                <w:rFonts w:ascii="Myriad Pro" w:eastAsia="Calibri" w:hAnsi="Myriad Pro" w:cs="Arial"/>
                <w:bCs/>
                <w:kern w:val="3"/>
              </w:rPr>
            </w:pPr>
            <w:r w:rsidRPr="00EE2308">
              <w:rPr>
                <w:rFonts w:ascii="Myriad Pro" w:eastAsia="Calibri" w:hAnsi="Myriad Pro" w:cs="Arial"/>
                <w:kern w:val="3"/>
              </w:rPr>
              <w:t>Respect des principes budgétaires</w:t>
            </w:r>
            <w:r>
              <w:rPr>
                <w:rFonts w:ascii="Myriad Pro" w:eastAsia="Calibri" w:hAnsi="Myriad Pro" w:cs="Arial"/>
                <w:kern w:val="3"/>
              </w:rPr>
              <w:t> :</w:t>
            </w:r>
          </w:p>
          <w:p w:rsidR="008E1B3F" w:rsidRDefault="008E1B3F" w:rsidP="00A17F79">
            <w:pPr>
              <w:suppressLineNumbers/>
              <w:suppressAutoHyphens/>
              <w:autoSpaceDN w:val="0"/>
              <w:spacing w:after="200" w:line="276" w:lineRule="auto"/>
              <w:jc w:val="both"/>
              <w:textAlignment w:val="baseline"/>
              <w:rPr>
                <w:rFonts w:ascii="Myriad Pro" w:eastAsia="Calibri" w:hAnsi="Myriad Pro" w:cs="Arial"/>
                <w:bCs/>
                <w:kern w:val="3"/>
              </w:rPr>
            </w:pPr>
            <w:r>
              <w:rPr>
                <w:rFonts w:ascii="Myriad Pro" w:eastAsia="Calibri" w:hAnsi="Myriad Pro" w:cs="Arial"/>
                <w:bCs/>
                <w:kern w:val="3"/>
              </w:rPr>
              <w:t xml:space="preserve">La Note Circulaire </w:t>
            </w:r>
            <w:r>
              <w:rPr>
                <w:rFonts w:ascii="Arial" w:eastAsia="Times New Roman" w:hAnsi="Arial" w:cs="Arial"/>
                <w:bCs/>
                <w:sz w:val="20"/>
                <w:szCs w:val="20"/>
              </w:rPr>
              <w:t xml:space="preserve">n°002/CAB/VPM </w:t>
            </w:r>
            <w:r w:rsidRPr="00EE2308">
              <w:rPr>
                <w:rFonts w:ascii="Arial" w:eastAsia="Times New Roman" w:hAnsi="Arial" w:cs="Arial"/>
                <w:bCs/>
                <w:sz w:val="20"/>
                <w:szCs w:val="20"/>
              </w:rPr>
              <w:t xml:space="preserve">MIN/BUDGET/2013 </w:t>
            </w:r>
            <w:r w:rsidRPr="00EE2308">
              <w:rPr>
                <w:rFonts w:ascii="Myriad Pro" w:eastAsia="Calibri" w:hAnsi="Myriad Pro" w:cs="Arial"/>
                <w:bCs/>
                <w:kern w:val="3"/>
              </w:rPr>
              <w:t xml:space="preserve">du 25/07/2013 n’a pas été bien interprétécar </w:t>
            </w:r>
            <w:r>
              <w:rPr>
                <w:rFonts w:ascii="Myriad Pro" w:eastAsia="Calibri" w:hAnsi="Myriad Pro" w:cs="Arial"/>
                <w:bCs/>
                <w:kern w:val="3"/>
              </w:rPr>
              <w:t xml:space="preserve">le fait pour les régies de retenir </w:t>
            </w:r>
            <w:r w:rsidRPr="00EE2308">
              <w:rPr>
                <w:rFonts w:ascii="Myriad Pro" w:eastAsia="Calibri" w:hAnsi="Myriad Pro" w:cs="Arial"/>
                <w:bCs/>
                <w:kern w:val="3"/>
              </w:rPr>
              <w:t xml:space="preserve">directement </w:t>
            </w:r>
            <w:r>
              <w:rPr>
                <w:rFonts w:ascii="Myriad Pro" w:eastAsia="Calibri" w:hAnsi="Myriad Pro" w:cs="Arial"/>
                <w:bCs/>
                <w:kern w:val="3"/>
              </w:rPr>
              <w:t xml:space="preserve">les recettes ne viole nullement le principe d’unité du Budget mais qu’il se fait en toute </w:t>
            </w:r>
            <w:bookmarkStart w:id="0" w:name="_GoBack"/>
            <w:bookmarkEnd w:id="0"/>
            <w:r>
              <w:rPr>
                <w:rFonts w:ascii="Myriad Pro" w:eastAsia="Calibri" w:hAnsi="Myriad Pro" w:cs="Arial"/>
                <w:bCs/>
                <w:kern w:val="3"/>
              </w:rPr>
              <w:t xml:space="preserve">légalité.  Les Régies Financières exécutent les textes légaux et règlementaires à ce sujet.  </w:t>
            </w:r>
          </w:p>
          <w:p w:rsidR="008E1B3F" w:rsidRPr="00EE2308" w:rsidRDefault="008E1B3F" w:rsidP="008E1B3F">
            <w:pPr>
              <w:pStyle w:val="Paragraphedeliste"/>
              <w:numPr>
                <w:ilvl w:val="0"/>
                <w:numId w:val="6"/>
              </w:numPr>
              <w:suppressLineNumbers/>
              <w:suppressAutoHyphens/>
              <w:autoSpaceDN w:val="0"/>
              <w:spacing w:after="200" w:line="276" w:lineRule="auto"/>
              <w:ind w:left="386"/>
              <w:jc w:val="both"/>
              <w:textAlignment w:val="baseline"/>
              <w:rPr>
                <w:rFonts w:ascii="Myriad Pro" w:eastAsia="Calibri" w:hAnsi="Myriad Pro" w:cs="Arial"/>
                <w:bCs/>
                <w:kern w:val="3"/>
              </w:rPr>
            </w:pPr>
            <w:r>
              <w:rPr>
                <w:rFonts w:ascii="Myriad Pro" w:eastAsia="Calibri" w:hAnsi="Myriad Pro" w:cs="Arial"/>
                <w:kern w:val="3"/>
              </w:rPr>
              <w:t>Défaillance</w:t>
            </w:r>
            <w:r w:rsidRPr="00EE2308">
              <w:rPr>
                <w:rFonts w:ascii="Myriad Pro" w:eastAsia="Calibri" w:hAnsi="Myriad Pro" w:cs="Arial"/>
                <w:kern w:val="3"/>
              </w:rPr>
              <w:t xml:space="preserve"> dans la préparation de la déclaration de la DGDA</w:t>
            </w:r>
            <w:r>
              <w:rPr>
                <w:rFonts w:ascii="Myriad Pro" w:eastAsia="Calibri" w:hAnsi="Myriad Pro" w:cs="Arial"/>
                <w:kern w:val="3"/>
              </w:rPr>
              <w:t> :</w:t>
            </w:r>
          </w:p>
          <w:p w:rsidR="008E1B3F" w:rsidRPr="00EE2308" w:rsidRDefault="008E1B3F" w:rsidP="00A17F79">
            <w:pPr>
              <w:pStyle w:val="Paragraphedeliste"/>
              <w:suppressLineNumbers/>
              <w:suppressAutoHyphens/>
              <w:autoSpaceDN w:val="0"/>
              <w:spacing w:after="200" w:line="276" w:lineRule="auto"/>
              <w:ind w:left="386"/>
              <w:jc w:val="both"/>
              <w:textAlignment w:val="baseline"/>
              <w:rPr>
                <w:rFonts w:ascii="Myriad Pro" w:eastAsia="Calibri" w:hAnsi="Myriad Pro" w:cs="Arial"/>
                <w:bCs/>
                <w:kern w:val="3"/>
              </w:rPr>
            </w:pPr>
            <w:r>
              <w:rPr>
                <w:rFonts w:ascii="Myriad Pro" w:eastAsia="Calibri" w:hAnsi="Myriad Pro" w:cs="Arial"/>
                <w:kern w:val="3"/>
              </w:rPr>
              <w:t>Revoir les termes de cette recommandation qui ressemble plus à une accusation.</w:t>
            </w:r>
          </w:p>
          <w:p w:rsidR="008E1B3F" w:rsidRPr="00EE2308" w:rsidRDefault="008E1B3F" w:rsidP="00A17F79">
            <w:pPr>
              <w:pStyle w:val="Paragraphedeliste"/>
              <w:suppressLineNumbers/>
              <w:suppressAutoHyphens/>
              <w:autoSpaceDN w:val="0"/>
              <w:spacing w:after="200" w:line="276" w:lineRule="auto"/>
              <w:ind w:left="386"/>
              <w:jc w:val="both"/>
              <w:textAlignment w:val="baseline"/>
              <w:rPr>
                <w:rFonts w:ascii="Myriad Pro" w:eastAsia="Calibri" w:hAnsi="Myriad Pro" w:cs="Arial"/>
                <w:bCs/>
                <w:kern w:val="3"/>
              </w:rPr>
            </w:pPr>
          </w:p>
        </w:tc>
        <w:tc>
          <w:tcPr>
            <w:tcW w:w="2756"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Default="008E1B3F" w:rsidP="008E1B3F">
            <w:pPr>
              <w:pStyle w:val="Paragraphedeliste"/>
              <w:numPr>
                <w:ilvl w:val="0"/>
                <w:numId w:val="6"/>
              </w:num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Les AFE du Katanga demandent que cette recommandation soit élaguée.</w:t>
            </w: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p w:rsidR="008E1B3F" w:rsidRDefault="008E1B3F" w:rsidP="008E1B3F">
            <w:pPr>
              <w:pStyle w:val="Paragraphedeliste"/>
              <w:numPr>
                <w:ilvl w:val="0"/>
                <w:numId w:val="7"/>
              </w:num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Remplacer le mot « défaillance » par un terme moins alarmant</w:t>
            </w:r>
          </w:p>
          <w:p w:rsidR="008E1B3F" w:rsidRPr="00EE2308" w:rsidRDefault="008E1B3F" w:rsidP="008E1B3F">
            <w:pPr>
              <w:pStyle w:val="Paragraphedeliste"/>
              <w:numPr>
                <w:ilvl w:val="0"/>
                <w:numId w:val="7"/>
              </w:numPr>
              <w:suppressLineNumbers/>
              <w:suppressAutoHyphens/>
              <w:autoSpaceDN w:val="0"/>
              <w:spacing w:after="200" w:line="276" w:lineRule="auto"/>
              <w:textAlignment w:val="baseline"/>
              <w:rPr>
                <w:rFonts w:ascii="Myriad Pro" w:eastAsia="Calibri" w:hAnsi="Myriad Pro" w:cs="Arial"/>
                <w:strike/>
                <w:color w:val="FF0000"/>
                <w:kern w:val="3"/>
              </w:rPr>
            </w:pPr>
            <w:r>
              <w:rPr>
                <w:rFonts w:ascii="Myriad Pro" w:eastAsia="Calibri" w:hAnsi="Myriad Pro" w:cs="Arial"/>
                <w:kern w:val="3"/>
              </w:rPr>
              <w:t xml:space="preserve"> Elaguer la remise en cause de l’exhaustivité des déclarations de la DGDA : </w:t>
            </w:r>
            <w:r w:rsidRPr="00EE2308">
              <w:rPr>
                <w:rFonts w:ascii="Myriad Pro" w:eastAsia="Calibri" w:hAnsi="Myriad Pro" w:cs="Arial"/>
                <w:strike/>
                <w:color w:val="FF0000"/>
                <w:kern w:val="3"/>
              </w:rPr>
              <w:t>« Compte tenu de tous ces éléments, nous ne pouvons pas conclure que ce rapport couvre de manière satisfaisante l’ensemble des revenus déclarés par la DGDA. »</w:t>
            </w:r>
          </w:p>
          <w:p w:rsidR="008E1B3F" w:rsidRPr="00EE2308" w:rsidRDefault="008E1B3F" w:rsidP="00A17F79">
            <w:pPr>
              <w:suppressLineNumbers/>
              <w:suppressAutoHyphens/>
              <w:autoSpaceDN w:val="0"/>
              <w:spacing w:after="200" w:line="276" w:lineRule="auto"/>
              <w:textAlignment w:val="baseline"/>
              <w:rPr>
                <w:rFonts w:ascii="Myriad Pro" w:eastAsia="Calibri" w:hAnsi="Myriad Pro" w:cs="Arial"/>
                <w:kern w:val="3"/>
              </w:rPr>
            </w:pPr>
          </w:p>
        </w:tc>
        <w:tc>
          <w:tcPr>
            <w:tcW w:w="19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p>
        </w:tc>
      </w:tr>
      <w:tr w:rsidR="008E1B3F" w:rsidRPr="001B2972" w:rsidTr="00A17F79">
        <w:tc>
          <w:tcPr>
            <w:tcW w:w="2410" w:type="dxa"/>
            <w:tcBorders>
              <w:left w:val="single" w:sz="2" w:space="0" w:color="000000"/>
              <w:bottom w:val="single" w:sz="2" w:space="0" w:color="000000"/>
            </w:tcBorders>
            <w:shd w:val="clear" w:color="auto" w:fill="FFFF99"/>
            <w:tcMar>
              <w:top w:w="55" w:type="dxa"/>
              <w:left w:w="55" w:type="dxa"/>
              <w:bottom w:w="55" w:type="dxa"/>
              <w:right w:w="55" w:type="dxa"/>
            </w:tcMar>
          </w:tcPr>
          <w:p w:rsidR="008E1B3F" w:rsidRPr="001B2972" w:rsidRDefault="008E1B3F" w:rsidP="00A17F79">
            <w:pPr>
              <w:shd w:val="clear" w:color="auto" w:fill="FFFFFF"/>
              <w:suppressAutoHyphens/>
              <w:autoSpaceDN w:val="0"/>
              <w:spacing w:after="0" w:line="240" w:lineRule="auto"/>
              <w:textAlignment w:val="baseline"/>
              <w:rPr>
                <w:rFonts w:ascii="Myriad Pro" w:eastAsia="Calibri" w:hAnsi="Myriad Pro" w:cs="Arial"/>
                <w:kern w:val="3"/>
                <w:sz w:val="20"/>
              </w:rPr>
            </w:pPr>
            <w:r>
              <w:rPr>
                <w:rFonts w:ascii="Myriad Pro" w:eastAsia="Calibri" w:hAnsi="Myriad Pro" w:cs="Arial"/>
                <w:kern w:val="3"/>
                <w:sz w:val="20"/>
              </w:rPr>
              <w:t>Equipe de travail et personnes contactés</w:t>
            </w:r>
          </w:p>
        </w:tc>
        <w:tc>
          <w:tcPr>
            <w:tcW w:w="3271"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Pr="00EE2308" w:rsidRDefault="008E1B3F" w:rsidP="008E1B3F">
            <w:pPr>
              <w:pStyle w:val="Paragraphedeliste"/>
              <w:numPr>
                <w:ilvl w:val="0"/>
                <w:numId w:val="8"/>
              </w:num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Les équipes du Katanga non pas été mentionnées alors qu’elles ont étés souvent sollicités dans le cadre de l’élaboration du rapport</w:t>
            </w:r>
          </w:p>
        </w:tc>
        <w:tc>
          <w:tcPr>
            <w:tcW w:w="2756"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Default="008E1B3F" w:rsidP="00A17F79">
            <w:p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Ajouter sur la liste des personnes contactées les noms ci-après :</w:t>
            </w:r>
          </w:p>
          <w:p w:rsidR="008E1B3F" w:rsidRDefault="008E1B3F" w:rsidP="008E1B3F">
            <w:pPr>
              <w:pStyle w:val="Paragraphedeliste"/>
              <w:numPr>
                <w:ilvl w:val="0"/>
                <w:numId w:val="9"/>
              </w:num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Jean Parfait NTABALA : DGRAD : Directeur Provincial</w:t>
            </w:r>
          </w:p>
          <w:p w:rsidR="008E1B3F" w:rsidRDefault="008E1B3F" w:rsidP="008E1B3F">
            <w:pPr>
              <w:pStyle w:val="Paragraphedeliste"/>
              <w:numPr>
                <w:ilvl w:val="0"/>
                <w:numId w:val="9"/>
              </w:num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Damas KATANGA : DGI : Chef de Division (Point Focal ITIE)</w:t>
            </w:r>
          </w:p>
          <w:p w:rsidR="008E1B3F" w:rsidRDefault="008E1B3F" w:rsidP="008E1B3F">
            <w:pPr>
              <w:pStyle w:val="Paragraphedeliste"/>
              <w:numPr>
                <w:ilvl w:val="0"/>
                <w:numId w:val="9"/>
              </w:num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Blaise BWELE : DGRAD : Chef de Division (Point Focal ITIE)</w:t>
            </w:r>
          </w:p>
          <w:p w:rsidR="008E1B3F" w:rsidRDefault="008E1B3F" w:rsidP="008E1B3F">
            <w:pPr>
              <w:pStyle w:val="Paragraphedeliste"/>
              <w:numPr>
                <w:ilvl w:val="0"/>
                <w:numId w:val="9"/>
              </w:num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Eric KAMOA : DRKAT : Chef de Division (Point Focal ITIE)</w:t>
            </w:r>
          </w:p>
          <w:p w:rsidR="008E1B3F" w:rsidRDefault="008E1B3F" w:rsidP="008E1B3F">
            <w:pPr>
              <w:pStyle w:val="Paragraphedeliste"/>
              <w:numPr>
                <w:ilvl w:val="0"/>
                <w:numId w:val="9"/>
              </w:num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Jean-Jacques SUKAKUMU : DGDA : Inspecteur (Point Focal)</w:t>
            </w:r>
          </w:p>
          <w:p w:rsidR="008E1B3F" w:rsidRPr="00645F53" w:rsidRDefault="008E1B3F" w:rsidP="008E1B3F">
            <w:pPr>
              <w:pStyle w:val="Paragraphedeliste"/>
              <w:numPr>
                <w:ilvl w:val="0"/>
                <w:numId w:val="9"/>
              </w:numPr>
              <w:suppressLineNumbers/>
              <w:suppressAutoHyphens/>
              <w:autoSpaceDN w:val="0"/>
              <w:spacing w:after="200" w:line="276" w:lineRule="auto"/>
              <w:textAlignment w:val="baseline"/>
              <w:rPr>
                <w:rFonts w:ascii="Myriad Pro" w:eastAsia="Calibri" w:hAnsi="Myriad Pro" w:cs="Arial"/>
                <w:kern w:val="3"/>
              </w:rPr>
            </w:pPr>
            <w:proofErr w:type="spellStart"/>
            <w:r>
              <w:rPr>
                <w:rFonts w:ascii="Myriad Pro" w:eastAsia="Calibri" w:hAnsi="Myriad Pro" w:cs="Arial"/>
                <w:kern w:val="3"/>
              </w:rPr>
              <w:t>Diallon</w:t>
            </w:r>
            <w:proofErr w:type="spellEnd"/>
            <w:r>
              <w:rPr>
                <w:rFonts w:ascii="Myriad Pro" w:eastAsia="Calibri" w:hAnsi="Myriad Pro" w:cs="Arial"/>
                <w:kern w:val="3"/>
              </w:rPr>
              <w:t xml:space="preserve"> KITENGE : Division Provinciale des Mines : Chef de Bureau Géologie </w:t>
            </w:r>
          </w:p>
          <w:p w:rsidR="008E1B3F" w:rsidRPr="00EE2308" w:rsidRDefault="008E1B3F" w:rsidP="00A17F79">
            <w:pPr>
              <w:suppressLineNumbers/>
              <w:suppressAutoHyphens/>
              <w:autoSpaceDN w:val="0"/>
              <w:spacing w:after="200" w:line="276" w:lineRule="auto"/>
              <w:textAlignment w:val="baseline"/>
              <w:rPr>
                <w:rFonts w:ascii="Myriad Pro" w:eastAsia="Calibri" w:hAnsi="Myriad Pro" w:cs="Arial"/>
                <w:kern w:val="3"/>
              </w:rPr>
            </w:pPr>
          </w:p>
        </w:tc>
        <w:tc>
          <w:tcPr>
            <w:tcW w:w="19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E1B3F" w:rsidRPr="00EE2308" w:rsidRDefault="008E1B3F" w:rsidP="00A17F79">
            <w:pPr>
              <w:suppressLineNumbers/>
              <w:suppressAutoHyphens/>
              <w:autoSpaceDN w:val="0"/>
              <w:spacing w:after="200" w:line="276" w:lineRule="auto"/>
              <w:textAlignment w:val="baseline"/>
              <w:rPr>
                <w:rFonts w:ascii="Myriad Pro" w:eastAsia="Calibri" w:hAnsi="Myriad Pro" w:cs="Arial"/>
                <w:kern w:val="3"/>
              </w:rPr>
            </w:pPr>
          </w:p>
        </w:tc>
      </w:tr>
      <w:tr w:rsidR="008E1B3F" w:rsidRPr="001B2972" w:rsidTr="00A17F79">
        <w:tc>
          <w:tcPr>
            <w:tcW w:w="2410" w:type="dxa"/>
            <w:tcBorders>
              <w:left w:val="single" w:sz="2" w:space="0" w:color="000000"/>
              <w:bottom w:val="single" w:sz="2" w:space="0" w:color="000000"/>
            </w:tcBorders>
            <w:shd w:val="clear" w:color="auto" w:fill="FFFF99"/>
            <w:tcMar>
              <w:top w:w="55" w:type="dxa"/>
              <w:left w:w="55" w:type="dxa"/>
              <w:bottom w:w="55" w:type="dxa"/>
              <w:right w:w="55" w:type="dxa"/>
            </w:tcMar>
          </w:tcPr>
          <w:p w:rsidR="008E1B3F" w:rsidRPr="001B2972" w:rsidRDefault="008E1B3F" w:rsidP="00A17F79">
            <w:pPr>
              <w:shd w:val="clear" w:color="auto" w:fill="FFFFFF"/>
              <w:suppressAutoHyphens/>
              <w:autoSpaceDN w:val="0"/>
              <w:spacing w:after="0" w:line="240" w:lineRule="auto"/>
              <w:textAlignment w:val="baseline"/>
              <w:rPr>
                <w:rFonts w:ascii="Myriad Pro" w:eastAsia="Calibri" w:hAnsi="Myriad Pro" w:cs="Arial"/>
                <w:kern w:val="3"/>
                <w:sz w:val="20"/>
              </w:rPr>
            </w:pPr>
            <w:r w:rsidRPr="001B2972">
              <w:rPr>
                <w:rFonts w:ascii="Myriad Pro" w:eastAsia="Calibri" w:hAnsi="Myriad Pro" w:cs="Arial"/>
                <w:kern w:val="3"/>
                <w:sz w:val="20"/>
              </w:rPr>
              <w:t xml:space="preserve">Évaluation générale de la qualité du Rapport </w:t>
            </w:r>
          </w:p>
        </w:tc>
        <w:tc>
          <w:tcPr>
            <w:tcW w:w="3271"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Pr="001B2972" w:rsidRDefault="008E1B3F" w:rsidP="00A17F79">
            <w:pPr>
              <w:suppressLineNumbers/>
              <w:suppressAutoHyphens/>
              <w:autoSpaceDN w:val="0"/>
              <w:spacing w:after="200" w:line="276" w:lineRule="auto"/>
              <w:textAlignment w:val="baseline"/>
              <w:rPr>
                <w:rFonts w:ascii="Myriad Pro" w:eastAsia="Calibri" w:hAnsi="Myriad Pro" w:cs="Arial"/>
                <w:kern w:val="3"/>
              </w:rPr>
            </w:pPr>
            <w:r>
              <w:rPr>
                <w:rFonts w:ascii="Myriad Pro" w:eastAsia="Calibri" w:hAnsi="Myriad Pro" w:cs="Arial"/>
                <w:kern w:val="3"/>
              </w:rPr>
              <w:t xml:space="preserve">Sous réserve de la prise en compte des améliorations de parties prenantes et de la résolution des écarts significatifs, le rapport est de bonne qualité.  </w:t>
            </w:r>
          </w:p>
        </w:tc>
        <w:tc>
          <w:tcPr>
            <w:tcW w:w="2756" w:type="dxa"/>
            <w:tcBorders>
              <w:left w:val="single" w:sz="2" w:space="0" w:color="000000"/>
              <w:bottom w:val="single" w:sz="2" w:space="0" w:color="000000"/>
            </w:tcBorders>
            <w:shd w:val="clear" w:color="auto" w:fill="auto"/>
            <w:tcMar>
              <w:top w:w="55" w:type="dxa"/>
              <w:left w:w="55" w:type="dxa"/>
              <w:bottom w:w="55" w:type="dxa"/>
              <w:right w:w="55" w:type="dxa"/>
            </w:tcMar>
          </w:tcPr>
          <w:p w:rsidR="008E1B3F" w:rsidRPr="001B2972" w:rsidRDefault="008E1B3F" w:rsidP="00A17F79">
            <w:pPr>
              <w:suppressLineNumbers/>
              <w:suppressAutoHyphens/>
              <w:autoSpaceDN w:val="0"/>
              <w:spacing w:after="200" w:line="276" w:lineRule="auto"/>
              <w:textAlignment w:val="baseline"/>
              <w:rPr>
                <w:rFonts w:ascii="Myriad Pro" w:eastAsia="Calibri" w:hAnsi="Myriad Pro" w:cs="Arial"/>
                <w:kern w:val="3"/>
              </w:rPr>
            </w:pPr>
          </w:p>
        </w:tc>
        <w:tc>
          <w:tcPr>
            <w:tcW w:w="19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E1B3F" w:rsidRPr="001B2972" w:rsidRDefault="008E1B3F" w:rsidP="00A17F79">
            <w:pPr>
              <w:suppressLineNumbers/>
              <w:suppressAutoHyphens/>
              <w:autoSpaceDN w:val="0"/>
              <w:spacing w:after="200" w:line="276" w:lineRule="auto"/>
              <w:textAlignment w:val="baseline"/>
              <w:rPr>
                <w:rFonts w:ascii="Myriad Pro" w:eastAsia="Calibri" w:hAnsi="Myriad Pro" w:cs="Arial"/>
                <w:kern w:val="3"/>
              </w:rPr>
            </w:pPr>
          </w:p>
        </w:tc>
      </w:tr>
    </w:tbl>
    <w:p w:rsidR="008E1B3F" w:rsidRDefault="008E1B3F" w:rsidP="003E5DB6">
      <w:pPr>
        <w:spacing w:after="0"/>
        <w:jc w:val="both"/>
        <w:rPr>
          <w:sz w:val="24"/>
          <w:szCs w:val="24"/>
        </w:rPr>
      </w:pPr>
    </w:p>
    <w:p w:rsidR="008E1B3F" w:rsidRDefault="008E1B3F" w:rsidP="003E5DB6">
      <w:pPr>
        <w:spacing w:after="0"/>
        <w:jc w:val="both"/>
        <w:rPr>
          <w:sz w:val="24"/>
          <w:szCs w:val="24"/>
        </w:rPr>
      </w:pPr>
    </w:p>
    <w:p w:rsidR="008E1B3F" w:rsidRDefault="008E1B3F" w:rsidP="003E5DB6">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t>Commencée à 09h45, la réunion a pris</w:t>
      </w:r>
      <w:r w:rsidR="00FE6C68">
        <w:rPr>
          <w:sz w:val="24"/>
          <w:szCs w:val="24"/>
        </w:rPr>
        <w:t xml:space="preserve"> fin</w:t>
      </w:r>
      <w:r>
        <w:rPr>
          <w:sz w:val="24"/>
          <w:szCs w:val="24"/>
        </w:rPr>
        <w:t xml:space="preserve"> à 13h20.</w:t>
      </w:r>
    </w:p>
    <w:p w:rsidR="008E1B3F" w:rsidRDefault="008E1B3F" w:rsidP="003E5DB6">
      <w:pPr>
        <w:spacing w:after="0"/>
        <w:jc w:val="both"/>
        <w:rPr>
          <w:sz w:val="24"/>
          <w:szCs w:val="24"/>
        </w:rPr>
      </w:pPr>
    </w:p>
    <w:p w:rsidR="008E1B3F" w:rsidRDefault="008E1B3F" w:rsidP="008E1B3F">
      <w:pPr>
        <w:spacing w:after="0" w:line="48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Le Rapporteur </w:t>
      </w:r>
    </w:p>
    <w:p w:rsidR="008E1B3F" w:rsidRDefault="008E1B3F" w:rsidP="008E1B3F">
      <w:pPr>
        <w:spacing w:after="0" w:line="48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E6C68">
        <w:rPr>
          <w:sz w:val="24"/>
          <w:szCs w:val="24"/>
        </w:rPr>
        <w:tab/>
      </w:r>
    </w:p>
    <w:p w:rsidR="003E5DB6" w:rsidRPr="003E5DB6" w:rsidRDefault="003E5DB6" w:rsidP="003E5DB6">
      <w:pPr>
        <w:spacing w:after="0"/>
        <w:jc w:val="both"/>
        <w:rPr>
          <w:sz w:val="24"/>
          <w:szCs w:val="24"/>
        </w:rPr>
      </w:pPr>
    </w:p>
    <w:p w:rsidR="003E5DB6" w:rsidRDefault="003E5DB6"/>
    <w:sectPr w:rsidR="003E5DB6" w:rsidSect="001179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8BA"/>
    <w:multiLevelType w:val="hybridMultilevel"/>
    <w:tmpl w:val="5C7805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A25CC3"/>
    <w:multiLevelType w:val="hybridMultilevel"/>
    <w:tmpl w:val="C0F4D736"/>
    <w:lvl w:ilvl="0" w:tplc="C4769402">
      <w:start w:val="1"/>
      <w:numFmt w:val="bullet"/>
      <w:lvlText w:val=""/>
      <w:lvlJc w:val="left"/>
      <w:pPr>
        <w:ind w:left="745" w:hanging="360"/>
      </w:pPr>
      <w:rPr>
        <w:rFonts w:ascii="Symbol" w:hAnsi="Symbol"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2">
    <w:nsid w:val="23DB4519"/>
    <w:multiLevelType w:val="hybridMultilevel"/>
    <w:tmpl w:val="AD3A0A00"/>
    <w:lvl w:ilvl="0" w:tplc="C476940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2B0E6516"/>
    <w:multiLevelType w:val="hybridMultilevel"/>
    <w:tmpl w:val="96187F5C"/>
    <w:lvl w:ilvl="0" w:tplc="C476940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42CC3CAA"/>
    <w:multiLevelType w:val="hybridMultilevel"/>
    <w:tmpl w:val="85D2564E"/>
    <w:lvl w:ilvl="0" w:tplc="0E6CA08C">
      <w:numFmt w:val="bullet"/>
      <w:lvlText w:val="-"/>
      <w:lvlJc w:val="left"/>
      <w:pPr>
        <w:ind w:left="720" w:hanging="360"/>
      </w:pPr>
      <w:rPr>
        <w:rFonts w:ascii="Myriad Pro" w:eastAsia="Calibri" w:hAnsi="Myriad Pr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C5779E4"/>
    <w:multiLevelType w:val="hybridMultilevel"/>
    <w:tmpl w:val="FAECF5F2"/>
    <w:lvl w:ilvl="0" w:tplc="C47694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A7D7C98"/>
    <w:multiLevelType w:val="hybridMultilevel"/>
    <w:tmpl w:val="71681F76"/>
    <w:lvl w:ilvl="0" w:tplc="C4769402">
      <w:start w:val="1"/>
      <w:numFmt w:val="bullet"/>
      <w:lvlText w:val=""/>
      <w:lvlJc w:val="left"/>
      <w:pPr>
        <w:ind w:left="745" w:hanging="360"/>
      </w:pPr>
      <w:rPr>
        <w:rFonts w:ascii="Symbol" w:hAnsi="Symbol"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7">
    <w:nsid w:val="6B8223B5"/>
    <w:multiLevelType w:val="hybridMultilevel"/>
    <w:tmpl w:val="F9B898E2"/>
    <w:lvl w:ilvl="0" w:tplc="C47694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A3F0A35"/>
    <w:multiLevelType w:val="hybridMultilevel"/>
    <w:tmpl w:val="7326EA6C"/>
    <w:lvl w:ilvl="0" w:tplc="C47694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3"/>
  </w:num>
  <w:num w:numId="5">
    <w:abstractNumId w:val="2"/>
  </w:num>
  <w:num w:numId="6">
    <w:abstractNumId w:val="6"/>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B6"/>
    <w:rsid w:val="00066A1F"/>
    <w:rsid w:val="000E4494"/>
    <w:rsid w:val="000F1F67"/>
    <w:rsid w:val="0011798C"/>
    <w:rsid w:val="00123477"/>
    <w:rsid w:val="00125BA6"/>
    <w:rsid w:val="001704CD"/>
    <w:rsid w:val="00174FDD"/>
    <w:rsid w:val="00180E26"/>
    <w:rsid w:val="00183B40"/>
    <w:rsid w:val="00186B84"/>
    <w:rsid w:val="001A13D7"/>
    <w:rsid w:val="001B7BC3"/>
    <w:rsid w:val="001D0459"/>
    <w:rsid w:val="001D760D"/>
    <w:rsid w:val="001E4D7D"/>
    <w:rsid w:val="001E7A36"/>
    <w:rsid w:val="001F2B24"/>
    <w:rsid w:val="001F7ADE"/>
    <w:rsid w:val="00203740"/>
    <w:rsid w:val="00223B0F"/>
    <w:rsid w:val="002407E1"/>
    <w:rsid w:val="002442E3"/>
    <w:rsid w:val="0024592B"/>
    <w:rsid w:val="00262300"/>
    <w:rsid w:val="002654E8"/>
    <w:rsid w:val="002707FB"/>
    <w:rsid w:val="00296897"/>
    <w:rsid w:val="002A2F0B"/>
    <w:rsid w:val="003044E4"/>
    <w:rsid w:val="00321A8F"/>
    <w:rsid w:val="003A2FE6"/>
    <w:rsid w:val="003C75F6"/>
    <w:rsid w:val="003E2F53"/>
    <w:rsid w:val="003E5DB6"/>
    <w:rsid w:val="00403132"/>
    <w:rsid w:val="00460884"/>
    <w:rsid w:val="004776DF"/>
    <w:rsid w:val="00491314"/>
    <w:rsid w:val="004923DE"/>
    <w:rsid w:val="00495041"/>
    <w:rsid w:val="004D1C5E"/>
    <w:rsid w:val="0050421C"/>
    <w:rsid w:val="00514858"/>
    <w:rsid w:val="0053111A"/>
    <w:rsid w:val="00541995"/>
    <w:rsid w:val="0057587C"/>
    <w:rsid w:val="00591458"/>
    <w:rsid w:val="005E6785"/>
    <w:rsid w:val="00601054"/>
    <w:rsid w:val="00612798"/>
    <w:rsid w:val="00613E19"/>
    <w:rsid w:val="00624320"/>
    <w:rsid w:val="00667CC7"/>
    <w:rsid w:val="00672336"/>
    <w:rsid w:val="00681320"/>
    <w:rsid w:val="006C2D2B"/>
    <w:rsid w:val="006E1FF0"/>
    <w:rsid w:val="00705FE6"/>
    <w:rsid w:val="007154E9"/>
    <w:rsid w:val="007B6E0D"/>
    <w:rsid w:val="007C05B2"/>
    <w:rsid w:val="007E0BCF"/>
    <w:rsid w:val="007F4EE8"/>
    <w:rsid w:val="00841F44"/>
    <w:rsid w:val="008555FF"/>
    <w:rsid w:val="00870E3F"/>
    <w:rsid w:val="008E1B3F"/>
    <w:rsid w:val="008E22E4"/>
    <w:rsid w:val="008E5CC1"/>
    <w:rsid w:val="008F0D32"/>
    <w:rsid w:val="009241B2"/>
    <w:rsid w:val="00950BF3"/>
    <w:rsid w:val="00961A68"/>
    <w:rsid w:val="00985406"/>
    <w:rsid w:val="009E6079"/>
    <w:rsid w:val="00A723C4"/>
    <w:rsid w:val="00A8254F"/>
    <w:rsid w:val="00A86E36"/>
    <w:rsid w:val="00A90A1B"/>
    <w:rsid w:val="00AA5122"/>
    <w:rsid w:val="00AB15A2"/>
    <w:rsid w:val="00AD1F4D"/>
    <w:rsid w:val="00AD3957"/>
    <w:rsid w:val="00B10534"/>
    <w:rsid w:val="00B131B1"/>
    <w:rsid w:val="00B240DC"/>
    <w:rsid w:val="00B3131E"/>
    <w:rsid w:val="00B370D0"/>
    <w:rsid w:val="00B376A7"/>
    <w:rsid w:val="00B457BD"/>
    <w:rsid w:val="00B47831"/>
    <w:rsid w:val="00B52C31"/>
    <w:rsid w:val="00B53855"/>
    <w:rsid w:val="00B53BE7"/>
    <w:rsid w:val="00BE2B36"/>
    <w:rsid w:val="00C1190D"/>
    <w:rsid w:val="00C11FC8"/>
    <w:rsid w:val="00C12EBD"/>
    <w:rsid w:val="00C66712"/>
    <w:rsid w:val="00C66E11"/>
    <w:rsid w:val="00C82205"/>
    <w:rsid w:val="00C82BD4"/>
    <w:rsid w:val="00C907B9"/>
    <w:rsid w:val="00C935D8"/>
    <w:rsid w:val="00CE0F8C"/>
    <w:rsid w:val="00D45C3C"/>
    <w:rsid w:val="00D52D98"/>
    <w:rsid w:val="00D63621"/>
    <w:rsid w:val="00D672FB"/>
    <w:rsid w:val="00D70F7A"/>
    <w:rsid w:val="00D8270C"/>
    <w:rsid w:val="00DA1691"/>
    <w:rsid w:val="00DD2A1C"/>
    <w:rsid w:val="00DE4B29"/>
    <w:rsid w:val="00E213DF"/>
    <w:rsid w:val="00E371ED"/>
    <w:rsid w:val="00EF11AE"/>
    <w:rsid w:val="00F04BF3"/>
    <w:rsid w:val="00F14A0E"/>
    <w:rsid w:val="00F464CB"/>
    <w:rsid w:val="00F70918"/>
    <w:rsid w:val="00F96218"/>
    <w:rsid w:val="00FA15F2"/>
    <w:rsid w:val="00FA75A8"/>
    <w:rsid w:val="00FE6C6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98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E5D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5DB6"/>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3E5D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98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E5D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5DB6"/>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3E5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973</Words>
  <Characters>5357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hp</cp:lastModifiedBy>
  <cp:revision>2</cp:revision>
  <dcterms:created xsi:type="dcterms:W3CDTF">2016-02-04T14:09:00Z</dcterms:created>
  <dcterms:modified xsi:type="dcterms:W3CDTF">2016-02-04T14:09:00Z</dcterms:modified>
</cp:coreProperties>
</file>