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652525" w:rsidRPr="00B53458" w:rsidTr="001C4243">
        <w:trPr>
          <w:trHeight w:val="2880"/>
          <w:jc w:val="center"/>
        </w:trPr>
        <w:tc>
          <w:tcPr>
            <w:tcW w:w="5000" w:type="pct"/>
          </w:tcPr>
          <w:p w:rsidR="00652525" w:rsidRPr="00B53458" w:rsidRDefault="00652525" w:rsidP="001C42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aps/>
              </w:rPr>
            </w:pPr>
            <w:bookmarkStart w:id="0" w:name="_GoBack"/>
            <w:bookmarkEnd w:id="0"/>
            <w:r>
              <w:rPr>
                <w:rFonts w:ascii="Cambria" w:eastAsia="Times New Roman" w:hAnsi="Cambria" w:cs="Times New Roman"/>
                <w:caps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1A20C2B" wp14:editId="20B9ADAE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-252095</wp:posOffset>
                  </wp:positionV>
                  <wp:extent cx="2113915" cy="960120"/>
                  <wp:effectExtent l="0" t="0" r="635" b="0"/>
                  <wp:wrapNone/>
                  <wp:docPr id="2" name="Image 2" descr="LOGO ITIE - Fomat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ITIE - Fomat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2525" w:rsidRPr="00B53458" w:rsidTr="001C4243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52525" w:rsidRPr="00652525" w:rsidRDefault="00652525" w:rsidP="0065252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50"/>
                <w:szCs w:val="50"/>
              </w:rPr>
            </w:pPr>
            <w:r w:rsidRPr="00652525">
              <w:rPr>
                <w:rFonts w:ascii="Cambria" w:eastAsia="Times New Roman" w:hAnsi="Cambria" w:cs="Times New Roman"/>
                <w:b/>
                <w:color w:val="2E74B5"/>
                <w:spacing w:val="5"/>
                <w:kern w:val="28"/>
                <w:sz w:val="50"/>
                <w:szCs w:val="50"/>
              </w:rPr>
              <w:t>Compte rendu synthèse de l’Atelier  des parties prenantes  de l’ITIE RDC sur la revue des améliorations du Rapport de l’étude de cadrage  du secteur minier artisanal à l’Est de la RDC</w:t>
            </w:r>
          </w:p>
        </w:tc>
      </w:tr>
      <w:tr w:rsidR="00652525" w:rsidRPr="00B53458" w:rsidTr="001C4243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52525" w:rsidRPr="00B53458" w:rsidRDefault="00652525" w:rsidP="001C42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</w:rPr>
            </w:pPr>
          </w:p>
        </w:tc>
      </w:tr>
      <w:tr w:rsidR="00652525" w:rsidRPr="00B53458" w:rsidTr="001C4243">
        <w:trPr>
          <w:trHeight w:val="360"/>
          <w:jc w:val="center"/>
        </w:trPr>
        <w:tc>
          <w:tcPr>
            <w:tcW w:w="5000" w:type="pct"/>
            <w:vAlign w:val="center"/>
          </w:tcPr>
          <w:p w:rsidR="00652525" w:rsidRPr="00B53458" w:rsidRDefault="00652525" w:rsidP="001C4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52525" w:rsidRPr="00B53458" w:rsidTr="001C4243">
        <w:trPr>
          <w:trHeight w:val="360"/>
          <w:jc w:val="center"/>
        </w:trPr>
        <w:tc>
          <w:tcPr>
            <w:tcW w:w="5000" w:type="pct"/>
            <w:vAlign w:val="center"/>
          </w:tcPr>
          <w:p w:rsidR="00652525" w:rsidRPr="00B53458" w:rsidRDefault="00652525" w:rsidP="001C4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652525" w:rsidRPr="00B53458" w:rsidTr="001C4243">
        <w:trPr>
          <w:trHeight w:val="360"/>
          <w:jc w:val="center"/>
        </w:trPr>
        <w:tc>
          <w:tcPr>
            <w:tcW w:w="5000" w:type="pct"/>
            <w:vAlign w:val="center"/>
          </w:tcPr>
          <w:p w:rsidR="00652525" w:rsidRPr="00B53458" w:rsidRDefault="00652525" w:rsidP="001C4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:rsidR="00652525" w:rsidRPr="00B53458" w:rsidRDefault="00652525" w:rsidP="00652525">
      <w:pPr>
        <w:rPr>
          <w:rFonts w:ascii="Calibri" w:eastAsia="Calibri" w:hAnsi="Calibri" w:cs="Times New Roman"/>
        </w:rPr>
      </w:pPr>
    </w:p>
    <w:p w:rsidR="00652525" w:rsidRPr="00B53458" w:rsidRDefault="00652525" w:rsidP="00652525">
      <w:pPr>
        <w:rPr>
          <w:rFonts w:ascii="Calibri" w:eastAsia="Calibri" w:hAnsi="Calibri" w:cs="Times New Roman"/>
        </w:rPr>
      </w:pPr>
      <w:r>
        <w:rPr>
          <w:rFonts w:ascii="Garamond" w:eastAsia="Calibri" w:hAnsi="Garamond" w:cs="Times New Roman"/>
          <w:noProof/>
          <w:sz w:val="24"/>
          <w:lang w:eastAsia="fr-FR"/>
        </w:rPr>
        <w:drawing>
          <wp:inline distT="0" distB="0" distL="0" distR="0" wp14:anchorId="1A4819C2" wp14:editId="5B10D9E7">
            <wp:extent cx="5448300" cy="1600200"/>
            <wp:effectExtent l="0" t="0" r="0" b="0"/>
            <wp:docPr id="5" name="Image 5" descr="F: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516" cy="160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652525" w:rsidRPr="00723D04" w:rsidTr="001C4243">
        <w:tc>
          <w:tcPr>
            <w:tcW w:w="5000" w:type="pct"/>
            <w:tcBorders>
              <w:bottom w:val="single" w:sz="4" w:space="0" w:color="auto"/>
            </w:tcBorders>
          </w:tcPr>
          <w:p w:rsidR="00652525" w:rsidRPr="00253664" w:rsidRDefault="00652525" w:rsidP="001C4243">
            <w:pPr>
              <w:pStyle w:val="Citation"/>
              <w:jc w:val="center"/>
              <w:rPr>
                <w:rFonts w:ascii="Garamond" w:hAnsi="Garamond"/>
                <w:i w:val="0"/>
                <w:sz w:val="24"/>
                <w:szCs w:val="24"/>
              </w:rPr>
            </w:pPr>
            <w:r>
              <w:rPr>
                <w:rFonts w:ascii="Garamond" w:hAnsi="Garamond"/>
                <w:i w:val="0"/>
                <w:sz w:val="24"/>
                <w:szCs w:val="24"/>
              </w:rPr>
              <w:t>Kinshasa, le 08 Septembre</w:t>
            </w:r>
            <w:r w:rsidRPr="00253664">
              <w:rPr>
                <w:rFonts w:ascii="Garamond" w:hAnsi="Garamond"/>
                <w:i w:val="0"/>
                <w:sz w:val="24"/>
                <w:szCs w:val="24"/>
              </w:rPr>
              <w:t xml:space="preserve"> 2015</w:t>
            </w:r>
          </w:p>
        </w:tc>
      </w:tr>
    </w:tbl>
    <w:p w:rsidR="00652525" w:rsidRDefault="00652525" w:rsidP="00652525"/>
    <w:p w:rsidR="00652525" w:rsidRPr="007E6E89" w:rsidRDefault="00652525" w:rsidP="00652525"/>
    <w:p w:rsidR="00652525" w:rsidRDefault="00652525" w:rsidP="00AD54CB">
      <w:pPr>
        <w:jc w:val="both"/>
        <w:rPr>
          <w:b/>
          <w:u w:val="single"/>
        </w:rPr>
      </w:pPr>
    </w:p>
    <w:p w:rsidR="00652525" w:rsidRDefault="00652525" w:rsidP="00AD54CB">
      <w:pPr>
        <w:jc w:val="both"/>
        <w:rPr>
          <w:b/>
          <w:u w:val="single"/>
        </w:rPr>
      </w:pPr>
    </w:p>
    <w:p w:rsidR="00652525" w:rsidRDefault="00652525" w:rsidP="00AD54CB">
      <w:pPr>
        <w:jc w:val="both"/>
        <w:rPr>
          <w:b/>
          <w:u w:val="single"/>
        </w:rPr>
      </w:pPr>
    </w:p>
    <w:p w:rsidR="004E70A9" w:rsidRPr="00B74632" w:rsidRDefault="00044625" w:rsidP="00AD54CB">
      <w:pPr>
        <w:jc w:val="both"/>
        <w:rPr>
          <w:b/>
          <w:u w:val="single"/>
        </w:rPr>
      </w:pPr>
      <w:r>
        <w:rPr>
          <w:b/>
          <w:u w:val="single"/>
        </w:rPr>
        <w:t>Compte rendu synthèse de l’</w:t>
      </w:r>
      <w:r w:rsidR="00F013CD" w:rsidRPr="00B74632">
        <w:rPr>
          <w:b/>
          <w:u w:val="single"/>
        </w:rPr>
        <w:t>Atelier  des parties prenantes  de l’ITIE RDC sur la revue des améliorations du Rapport de l’étude de cadrage  du secteur minier artisanal à l’Est de la RDC.</w:t>
      </w:r>
    </w:p>
    <w:p w:rsidR="00F013CD" w:rsidRDefault="00044625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F013CD" w:rsidRPr="00B74632">
        <w:rPr>
          <w:rFonts w:ascii="Garamond" w:hAnsi="Garamond"/>
          <w:sz w:val="24"/>
          <w:szCs w:val="24"/>
        </w:rPr>
        <w:t>En date du 7 septembre 2015, s’est tenu à Kinshasa</w:t>
      </w:r>
      <w:r w:rsidR="00AD54CB">
        <w:rPr>
          <w:rFonts w:ascii="Garamond" w:hAnsi="Garamond"/>
          <w:sz w:val="24"/>
          <w:szCs w:val="24"/>
        </w:rPr>
        <w:t>,</w:t>
      </w:r>
      <w:r w:rsidR="00F013CD" w:rsidRPr="00B74632">
        <w:rPr>
          <w:rFonts w:ascii="Garamond" w:hAnsi="Garamond"/>
          <w:sz w:val="24"/>
          <w:szCs w:val="24"/>
        </w:rPr>
        <w:t xml:space="preserve"> au cercle français le « Gourmand »</w:t>
      </w:r>
      <w:r w:rsidR="00AD54CB">
        <w:rPr>
          <w:rFonts w:ascii="Garamond" w:hAnsi="Garamond"/>
          <w:sz w:val="24"/>
          <w:szCs w:val="24"/>
        </w:rPr>
        <w:t>,</w:t>
      </w:r>
      <w:r w:rsidR="00F013CD" w:rsidRPr="00B74632">
        <w:rPr>
          <w:rFonts w:ascii="Garamond" w:hAnsi="Garamond"/>
          <w:sz w:val="24"/>
          <w:szCs w:val="24"/>
        </w:rPr>
        <w:t xml:space="preserve"> un important atelier des parties prenantes de l’ITIE</w:t>
      </w:r>
      <w:r w:rsidR="00B74632">
        <w:rPr>
          <w:rFonts w:ascii="Garamond" w:hAnsi="Garamond"/>
          <w:sz w:val="24"/>
          <w:szCs w:val="24"/>
        </w:rPr>
        <w:t>-RDC</w:t>
      </w:r>
      <w:r w:rsidR="00F013CD" w:rsidRPr="00B74632">
        <w:rPr>
          <w:rFonts w:ascii="Garamond" w:hAnsi="Garamond"/>
          <w:sz w:val="24"/>
          <w:szCs w:val="24"/>
        </w:rPr>
        <w:t xml:space="preserve"> en vue d</w:t>
      </w:r>
      <w:r w:rsidR="00B74632">
        <w:rPr>
          <w:rFonts w:ascii="Garamond" w:hAnsi="Garamond"/>
          <w:sz w:val="24"/>
          <w:szCs w:val="24"/>
        </w:rPr>
        <w:t>e</w:t>
      </w:r>
      <w:r w:rsidR="00523643">
        <w:rPr>
          <w:rFonts w:ascii="Garamond" w:hAnsi="Garamond"/>
          <w:sz w:val="24"/>
          <w:szCs w:val="24"/>
        </w:rPr>
        <w:t xml:space="preserve"> revoir </w:t>
      </w:r>
      <w:r w:rsidR="00F013CD" w:rsidRPr="00B74632">
        <w:rPr>
          <w:rFonts w:ascii="Garamond" w:hAnsi="Garamond"/>
          <w:sz w:val="24"/>
          <w:szCs w:val="24"/>
        </w:rPr>
        <w:t xml:space="preserve"> les améliorations apportées par les Parties Prenantes au  Rapport de l’étude de cadrage du secteur minier artisanal menée par le cabinet Price Water House</w:t>
      </w:r>
      <w:r w:rsidR="00F246D4" w:rsidRPr="00B74632">
        <w:rPr>
          <w:rFonts w:ascii="Garamond" w:hAnsi="Garamond"/>
          <w:sz w:val="24"/>
          <w:szCs w:val="24"/>
        </w:rPr>
        <w:t xml:space="preserve"> Cooper (PWC)</w:t>
      </w:r>
      <w:r w:rsidR="00B9130B">
        <w:rPr>
          <w:rFonts w:ascii="Garamond" w:hAnsi="Garamond"/>
          <w:sz w:val="24"/>
          <w:szCs w:val="24"/>
        </w:rPr>
        <w:t>,</w:t>
      </w:r>
      <w:r w:rsidR="00523643">
        <w:rPr>
          <w:rFonts w:ascii="Garamond" w:hAnsi="Garamond"/>
          <w:sz w:val="24"/>
          <w:szCs w:val="24"/>
        </w:rPr>
        <w:t xml:space="preserve"> </w:t>
      </w:r>
      <w:r w:rsidR="00B9130B">
        <w:rPr>
          <w:rFonts w:ascii="Garamond" w:hAnsi="Garamond"/>
          <w:sz w:val="24"/>
          <w:szCs w:val="24"/>
        </w:rPr>
        <w:t>en débattre et d</w:t>
      </w:r>
      <w:r w:rsidR="00AD54CB">
        <w:rPr>
          <w:rFonts w:ascii="Garamond" w:hAnsi="Garamond"/>
          <w:sz w:val="24"/>
          <w:szCs w:val="24"/>
        </w:rPr>
        <w:t>’</w:t>
      </w:r>
      <w:r w:rsidR="00B9130B">
        <w:rPr>
          <w:rFonts w:ascii="Garamond" w:hAnsi="Garamond"/>
          <w:sz w:val="24"/>
          <w:szCs w:val="24"/>
        </w:rPr>
        <w:t>assembler celles jugées perti</w:t>
      </w:r>
      <w:r w:rsidR="00523643">
        <w:rPr>
          <w:rFonts w:ascii="Garamond" w:hAnsi="Garamond"/>
          <w:sz w:val="24"/>
          <w:szCs w:val="24"/>
        </w:rPr>
        <w:t>nentes  à</w:t>
      </w:r>
      <w:r w:rsidR="00B9130B">
        <w:rPr>
          <w:rFonts w:ascii="Garamond" w:hAnsi="Garamond"/>
          <w:sz w:val="24"/>
          <w:szCs w:val="24"/>
        </w:rPr>
        <w:t xml:space="preserve"> </w:t>
      </w:r>
      <w:r w:rsidR="00523643">
        <w:rPr>
          <w:rFonts w:ascii="Garamond" w:hAnsi="Garamond"/>
          <w:sz w:val="24"/>
          <w:szCs w:val="24"/>
        </w:rPr>
        <w:t>intégrer</w:t>
      </w:r>
      <w:r w:rsidR="00B9130B">
        <w:rPr>
          <w:rFonts w:ascii="Garamond" w:hAnsi="Garamond"/>
          <w:sz w:val="24"/>
          <w:szCs w:val="24"/>
        </w:rPr>
        <w:t xml:space="preserve"> dans le Rappo</w:t>
      </w:r>
      <w:r w:rsidR="00523643">
        <w:rPr>
          <w:rFonts w:ascii="Garamond" w:hAnsi="Garamond"/>
          <w:sz w:val="24"/>
          <w:szCs w:val="24"/>
        </w:rPr>
        <w:t>rt final que le Comité Exécutif</w:t>
      </w:r>
      <w:r w:rsidR="00B9130B">
        <w:rPr>
          <w:rFonts w:ascii="Garamond" w:hAnsi="Garamond"/>
          <w:sz w:val="24"/>
          <w:szCs w:val="24"/>
        </w:rPr>
        <w:t xml:space="preserve"> </w:t>
      </w:r>
      <w:r w:rsidR="00523643">
        <w:rPr>
          <w:rFonts w:ascii="Garamond" w:hAnsi="Garamond"/>
          <w:sz w:val="24"/>
          <w:szCs w:val="24"/>
        </w:rPr>
        <w:t xml:space="preserve"> devait recevoir prochainement </w:t>
      </w:r>
      <w:r w:rsidR="00B9130B">
        <w:rPr>
          <w:rFonts w:ascii="Garamond" w:hAnsi="Garamond"/>
          <w:sz w:val="24"/>
          <w:szCs w:val="24"/>
        </w:rPr>
        <w:t>pour adoption</w:t>
      </w:r>
      <w:r w:rsidR="00F013CD" w:rsidRPr="00B74632">
        <w:rPr>
          <w:rFonts w:ascii="Garamond" w:hAnsi="Garamond"/>
          <w:sz w:val="24"/>
          <w:szCs w:val="24"/>
        </w:rPr>
        <w:t xml:space="preserve">. </w:t>
      </w:r>
    </w:p>
    <w:p w:rsidR="00BB3B5D" w:rsidRPr="00B74632" w:rsidRDefault="00BB3B5D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Ont pris part à cet atelier, les experts représentants les composantes Entreprises, Gouvernement, Société civile, Partenaires techniques et financiers ainsi  que ceux du Secrétariat Technique. La liste </w:t>
      </w:r>
      <w:r w:rsidR="00523643">
        <w:rPr>
          <w:rFonts w:ascii="Garamond" w:hAnsi="Garamond"/>
          <w:sz w:val="24"/>
          <w:szCs w:val="24"/>
        </w:rPr>
        <w:t>des présences</w:t>
      </w:r>
      <w:r>
        <w:rPr>
          <w:rFonts w:ascii="Garamond" w:hAnsi="Garamond"/>
          <w:sz w:val="24"/>
          <w:szCs w:val="24"/>
        </w:rPr>
        <w:t xml:space="preserve"> est reprise en annexe.  </w:t>
      </w:r>
    </w:p>
    <w:p w:rsidR="00F013CD" w:rsidRPr="00B74632" w:rsidRDefault="00BB3B5D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044625">
        <w:rPr>
          <w:rFonts w:ascii="Garamond" w:hAnsi="Garamond"/>
          <w:sz w:val="24"/>
          <w:szCs w:val="24"/>
        </w:rPr>
        <w:t>.</w:t>
      </w:r>
      <w:r w:rsidR="00044625" w:rsidRPr="00B74632">
        <w:rPr>
          <w:rFonts w:ascii="Garamond" w:hAnsi="Garamond"/>
          <w:sz w:val="24"/>
          <w:szCs w:val="24"/>
        </w:rPr>
        <w:t xml:space="preserve"> Au</w:t>
      </w:r>
      <w:r w:rsidR="00F013CD" w:rsidRPr="00B74632">
        <w:rPr>
          <w:rFonts w:ascii="Garamond" w:hAnsi="Garamond"/>
          <w:sz w:val="24"/>
          <w:szCs w:val="24"/>
        </w:rPr>
        <w:t xml:space="preserve"> terme de</w:t>
      </w:r>
      <w:r w:rsidR="006C2DCB">
        <w:rPr>
          <w:rFonts w:ascii="Garamond" w:hAnsi="Garamond"/>
          <w:sz w:val="24"/>
          <w:szCs w:val="24"/>
        </w:rPr>
        <w:t xml:space="preserve"> cet atelier, le ST ITIE devra</w:t>
      </w:r>
      <w:r w:rsidR="00F013CD" w:rsidRPr="00B74632">
        <w:rPr>
          <w:rFonts w:ascii="Garamond" w:hAnsi="Garamond"/>
          <w:sz w:val="24"/>
          <w:szCs w:val="24"/>
        </w:rPr>
        <w:t xml:space="preserve"> préparer un Cadrage à soumettre au Comité Exécutif pour validation le 30 septembre 2015. </w:t>
      </w:r>
    </w:p>
    <w:p w:rsidR="006C2DCB" w:rsidRDefault="00BB3B5D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044625">
        <w:rPr>
          <w:rFonts w:ascii="Garamond" w:hAnsi="Garamond"/>
          <w:sz w:val="24"/>
          <w:szCs w:val="24"/>
        </w:rPr>
        <w:t>.</w:t>
      </w:r>
      <w:r w:rsidR="00044625" w:rsidRPr="00B74632">
        <w:rPr>
          <w:rFonts w:ascii="Garamond" w:hAnsi="Garamond"/>
          <w:sz w:val="24"/>
          <w:szCs w:val="24"/>
        </w:rPr>
        <w:t xml:space="preserve"> Organisé</w:t>
      </w:r>
      <w:r w:rsidR="006C2DCB">
        <w:rPr>
          <w:rFonts w:ascii="Garamond" w:hAnsi="Garamond"/>
          <w:sz w:val="24"/>
          <w:szCs w:val="24"/>
        </w:rPr>
        <w:t xml:space="preserve"> par le ST ITIE et </w:t>
      </w:r>
      <w:r w:rsidR="006C2DCB" w:rsidRPr="00B74632">
        <w:rPr>
          <w:rFonts w:ascii="Garamond" w:hAnsi="Garamond"/>
          <w:sz w:val="24"/>
          <w:szCs w:val="24"/>
        </w:rPr>
        <w:t>sous la modération</w:t>
      </w:r>
      <w:r w:rsidR="006C2DCB">
        <w:rPr>
          <w:rFonts w:ascii="Garamond" w:hAnsi="Garamond"/>
          <w:sz w:val="24"/>
          <w:szCs w:val="24"/>
        </w:rPr>
        <w:t xml:space="preserve"> du P</w:t>
      </w:r>
      <w:r w:rsidR="006C2DCB" w:rsidRPr="00B74632">
        <w:rPr>
          <w:rFonts w:ascii="Garamond" w:hAnsi="Garamond"/>
          <w:sz w:val="24"/>
          <w:szCs w:val="24"/>
        </w:rPr>
        <w:t>rofesseur Mack DUMBA Jeremy, Coordo</w:t>
      </w:r>
      <w:r w:rsidR="006C2DCB">
        <w:rPr>
          <w:rFonts w:ascii="Garamond" w:hAnsi="Garamond"/>
          <w:sz w:val="24"/>
          <w:szCs w:val="24"/>
        </w:rPr>
        <w:t xml:space="preserve">nnateur National de l’ITIE-RDC, </w:t>
      </w:r>
      <w:r w:rsidR="00F246D4" w:rsidRPr="00B74632">
        <w:rPr>
          <w:rFonts w:ascii="Garamond" w:hAnsi="Garamond"/>
          <w:sz w:val="24"/>
          <w:szCs w:val="24"/>
        </w:rPr>
        <w:t>l’atelier était présidé</w:t>
      </w:r>
      <w:r w:rsidR="00F013CD" w:rsidRPr="00B74632">
        <w:rPr>
          <w:rFonts w:ascii="Garamond" w:hAnsi="Garamond"/>
          <w:sz w:val="24"/>
          <w:szCs w:val="24"/>
        </w:rPr>
        <w:t xml:space="preserve"> par le professeur Donat </w:t>
      </w:r>
      <w:proofErr w:type="spellStart"/>
      <w:r w:rsidR="00F013CD" w:rsidRPr="00B74632">
        <w:rPr>
          <w:rFonts w:ascii="Garamond" w:hAnsi="Garamond"/>
          <w:sz w:val="24"/>
          <w:szCs w:val="24"/>
        </w:rPr>
        <w:t>Kampata</w:t>
      </w:r>
      <w:proofErr w:type="spellEnd"/>
      <w:r w:rsidR="00F013CD" w:rsidRPr="00B74632">
        <w:rPr>
          <w:rFonts w:ascii="Garamond" w:hAnsi="Garamond"/>
          <w:sz w:val="24"/>
          <w:szCs w:val="24"/>
        </w:rPr>
        <w:t xml:space="preserve">, Coordonnateur de la Cellule Technique de Coordination et de la Planification Minière et  </w:t>
      </w:r>
      <w:r w:rsidR="00F246D4" w:rsidRPr="00B74632">
        <w:rPr>
          <w:rFonts w:ascii="Garamond" w:hAnsi="Garamond"/>
          <w:sz w:val="24"/>
          <w:szCs w:val="24"/>
        </w:rPr>
        <w:t>répondant</w:t>
      </w:r>
      <w:r w:rsidR="00F013CD" w:rsidRPr="00B74632">
        <w:rPr>
          <w:rFonts w:ascii="Garamond" w:hAnsi="Garamond"/>
          <w:sz w:val="24"/>
          <w:szCs w:val="24"/>
        </w:rPr>
        <w:t xml:space="preserve"> du ministre des Mines au Comité </w:t>
      </w:r>
      <w:r w:rsidR="00F246D4" w:rsidRPr="00B74632">
        <w:rPr>
          <w:rFonts w:ascii="Garamond" w:hAnsi="Garamond"/>
          <w:sz w:val="24"/>
          <w:szCs w:val="24"/>
        </w:rPr>
        <w:t>Exécutif</w:t>
      </w:r>
      <w:r w:rsidR="00F013CD" w:rsidRPr="00B74632">
        <w:rPr>
          <w:rFonts w:ascii="Garamond" w:hAnsi="Garamond"/>
          <w:sz w:val="24"/>
          <w:szCs w:val="24"/>
        </w:rPr>
        <w:t xml:space="preserve"> de l’</w:t>
      </w:r>
      <w:r w:rsidR="00F246D4" w:rsidRPr="00B74632">
        <w:rPr>
          <w:rFonts w:ascii="Garamond" w:hAnsi="Garamond"/>
          <w:sz w:val="24"/>
          <w:szCs w:val="24"/>
        </w:rPr>
        <w:t>ITIE-RDC</w:t>
      </w:r>
      <w:r w:rsidR="006C2DCB">
        <w:rPr>
          <w:rFonts w:ascii="Garamond" w:hAnsi="Garamond"/>
          <w:sz w:val="24"/>
          <w:szCs w:val="24"/>
        </w:rPr>
        <w:t>.</w:t>
      </w:r>
    </w:p>
    <w:p w:rsidR="00F246D4" w:rsidRPr="00B74632" w:rsidRDefault="00F246D4" w:rsidP="00AD54CB">
      <w:pPr>
        <w:jc w:val="both"/>
        <w:rPr>
          <w:rFonts w:ascii="Garamond" w:hAnsi="Garamond"/>
          <w:sz w:val="24"/>
          <w:szCs w:val="24"/>
        </w:rPr>
      </w:pPr>
      <w:r w:rsidRPr="00B74632">
        <w:rPr>
          <w:rFonts w:ascii="Garamond" w:hAnsi="Garamond"/>
          <w:sz w:val="24"/>
          <w:szCs w:val="24"/>
        </w:rPr>
        <w:t xml:space="preserve"> </w:t>
      </w:r>
      <w:r w:rsidR="00BB3B5D">
        <w:rPr>
          <w:rFonts w:ascii="Garamond" w:hAnsi="Garamond"/>
          <w:sz w:val="24"/>
          <w:szCs w:val="24"/>
        </w:rPr>
        <w:t>5</w:t>
      </w:r>
      <w:r w:rsidR="00044625">
        <w:rPr>
          <w:rFonts w:ascii="Garamond" w:hAnsi="Garamond"/>
          <w:sz w:val="24"/>
          <w:szCs w:val="24"/>
        </w:rPr>
        <w:t>.</w:t>
      </w:r>
      <w:r w:rsidR="00044625" w:rsidRPr="00B74632">
        <w:rPr>
          <w:rFonts w:ascii="Garamond" w:hAnsi="Garamond"/>
          <w:sz w:val="24"/>
          <w:szCs w:val="24"/>
        </w:rPr>
        <w:t xml:space="preserve"> Trois</w:t>
      </w:r>
      <w:r w:rsidRPr="00B74632">
        <w:rPr>
          <w:rFonts w:ascii="Garamond" w:hAnsi="Garamond"/>
          <w:sz w:val="24"/>
          <w:szCs w:val="24"/>
        </w:rPr>
        <w:t xml:space="preserve"> temps forts ont marqué cet atelier : la présentation  des conclusions de l’étude de Cadrage  du secteur minier artisanal à l’Est de la RDC par le Cabinet PWC, les débats autour de cette </w:t>
      </w:r>
      <w:r w:rsidR="007018E8" w:rsidRPr="00B74632">
        <w:rPr>
          <w:rFonts w:ascii="Garamond" w:hAnsi="Garamond"/>
          <w:sz w:val="24"/>
          <w:szCs w:val="24"/>
        </w:rPr>
        <w:t>présentation</w:t>
      </w:r>
      <w:r w:rsidRPr="00B74632">
        <w:rPr>
          <w:rFonts w:ascii="Garamond" w:hAnsi="Garamond"/>
          <w:sz w:val="24"/>
          <w:szCs w:val="24"/>
        </w:rPr>
        <w:t xml:space="preserve"> et</w:t>
      </w:r>
      <w:r w:rsidR="006C2DCB">
        <w:rPr>
          <w:rFonts w:ascii="Garamond" w:hAnsi="Garamond"/>
          <w:sz w:val="24"/>
          <w:szCs w:val="24"/>
        </w:rPr>
        <w:t xml:space="preserve"> l’assemblage</w:t>
      </w:r>
      <w:r w:rsidRPr="00B74632">
        <w:rPr>
          <w:rFonts w:ascii="Garamond" w:hAnsi="Garamond"/>
          <w:sz w:val="24"/>
          <w:szCs w:val="24"/>
        </w:rPr>
        <w:t xml:space="preserve"> des </w:t>
      </w:r>
      <w:r w:rsidR="007018E8" w:rsidRPr="00B74632">
        <w:rPr>
          <w:rFonts w:ascii="Garamond" w:hAnsi="Garamond"/>
          <w:sz w:val="24"/>
          <w:szCs w:val="24"/>
        </w:rPr>
        <w:t>améliorations</w:t>
      </w:r>
      <w:r w:rsidRPr="00B74632">
        <w:rPr>
          <w:rFonts w:ascii="Garamond" w:hAnsi="Garamond"/>
          <w:sz w:val="24"/>
          <w:szCs w:val="24"/>
        </w:rPr>
        <w:t xml:space="preserve"> et, enfin, la conclusion.</w:t>
      </w:r>
    </w:p>
    <w:p w:rsidR="00F246D4" w:rsidRPr="00B74632" w:rsidRDefault="00AD54CB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</w:t>
      </w:r>
      <w:r w:rsidR="00F246D4" w:rsidRPr="00B74632">
        <w:rPr>
          <w:rFonts w:ascii="Garamond" w:hAnsi="Garamond"/>
          <w:sz w:val="24"/>
          <w:szCs w:val="24"/>
        </w:rPr>
        <w:t xml:space="preserve">La </w:t>
      </w:r>
      <w:r w:rsidR="007018E8" w:rsidRPr="00B74632">
        <w:rPr>
          <w:rFonts w:ascii="Garamond" w:hAnsi="Garamond"/>
          <w:sz w:val="24"/>
          <w:szCs w:val="24"/>
        </w:rPr>
        <w:t>présentation</w:t>
      </w:r>
      <w:r w:rsidR="00F246D4" w:rsidRPr="00B74632">
        <w:rPr>
          <w:rFonts w:ascii="Garamond" w:hAnsi="Garamond"/>
          <w:sz w:val="24"/>
          <w:szCs w:val="24"/>
        </w:rPr>
        <w:t xml:space="preserve"> par PWC </w:t>
      </w:r>
      <w:r w:rsidR="007018E8" w:rsidRPr="00B74632">
        <w:rPr>
          <w:rFonts w:ascii="Garamond" w:hAnsi="Garamond"/>
          <w:sz w:val="24"/>
          <w:szCs w:val="24"/>
        </w:rPr>
        <w:t xml:space="preserve"> était axée sur  six points à savoir, i) le contexte de la mission ii) l’objet de la mission iii) l’approche méthodologique suivie iv)</w:t>
      </w:r>
      <w:r w:rsidR="006C2DCB">
        <w:rPr>
          <w:rFonts w:ascii="Garamond" w:hAnsi="Garamond"/>
          <w:sz w:val="24"/>
          <w:szCs w:val="24"/>
        </w:rPr>
        <w:t xml:space="preserve"> les </w:t>
      </w:r>
      <w:r w:rsidR="007018E8" w:rsidRPr="00B74632">
        <w:rPr>
          <w:rFonts w:ascii="Garamond" w:hAnsi="Garamond"/>
          <w:sz w:val="24"/>
          <w:szCs w:val="24"/>
        </w:rPr>
        <w:t>difficultés rencontrées v)</w:t>
      </w:r>
      <w:r w:rsidR="00B74632" w:rsidRPr="00B74632">
        <w:rPr>
          <w:rFonts w:ascii="Garamond" w:hAnsi="Garamond"/>
          <w:sz w:val="24"/>
          <w:szCs w:val="24"/>
        </w:rPr>
        <w:t xml:space="preserve"> </w:t>
      </w:r>
      <w:r w:rsidR="006C2DCB">
        <w:rPr>
          <w:rFonts w:ascii="Garamond" w:hAnsi="Garamond"/>
          <w:sz w:val="24"/>
          <w:szCs w:val="24"/>
        </w:rPr>
        <w:t xml:space="preserve">le </w:t>
      </w:r>
      <w:r w:rsidR="007018E8" w:rsidRPr="00B74632">
        <w:rPr>
          <w:rFonts w:ascii="Garamond" w:hAnsi="Garamond"/>
          <w:sz w:val="24"/>
          <w:szCs w:val="24"/>
        </w:rPr>
        <w:t>résultat des travaux et vi)</w:t>
      </w:r>
      <w:r w:rsidR="00B74632" w:rsidRPr="00B74632">
        <w:rPr>
          <w:rFonts w:ascii="Garamond" w:hAnsi="Garamond"/>
          <w:sz w:val="24"/>
          <w:szCs w:val="24"/>
        </w:rPr>
        <w:t xml:space="preserve"> </w:t>
      </w:r>
      <w:r w:rsidR="006C2DCB">
        <w:rPr>
          <w:rFonts w:ascii="Garamond" w:hAnsi="Garamond"/>
          <w:sz w:val="24"/>
          <w:szCs w:val="24"/>
        </w:rPr>
        <w:t xml:space="preserve">les </w:t>
      </w:r>
      <w:r w:rsidR="006C2DCB" w:rsidRPr="00B74632">
        <w:rPr>
          <w:rFonts w:ascii="Garamond" w:hAnsi="Garamond"/>
          <w:sz w:val="24"/>
          <w:szCs w:val="24"/>
        </w:rPr>
        <w:t>conclusions</w:t>
      </w:r>
      <w:r w:rsidR="007018E8" w:rsidRPr="00B74632">
        <w:rPr>
          <w:rFonts w:ascii="Garamond" w:hAnsi="Garamond"/>
          <w:sz w:val="24"/>
          <w:szCs w:val="24"/>
        </w:rPr>
        <w:t xml:space="preserve"> et recommandations.</w:t>
      </w:r>
    </w:p>
    <w:p w:rsidR="007018E8" w:rsidRPr="00B74632" w:rsidRDefault="007018E8" w:rsidP="00AD54CB">
      <w:pPr>
        <w:jc w:val="both"/>
        <w:rPr>
          <w:rFonts w:ascii="Garamond" w:hAnsi="Garamond"/>
          <w:sz w:val="24"/>
          <w:szCs w:val="24"/>
        </w:rPr>
      </w:pPr>
      <w:r w:rsidRPr="00B74632">
        <w:rPr>
          <w:rFonts w:ascii="Garamond" w:hAnsi="Garamond"/>
          <w:sz w:val="24"/>
          <w:szCs w:val="24"/>
        </w:rPr>
        <w:t xml:space="preserve">Sur base des études et constations sur terrain, le cabinet </w:t>
      </w:r>
      <w:r w:rsidR="00B74632">
        <w:rPr>
          <w:rFonts w:ascii="Garamond" w:hAnsi="Garamond"/>
          <w:sz w:val="24"/>
          <w:szCs w:val="24"/>
        </w:rPr>
        <w:t>a recommandé</w:t>
      </w:r>
      <w:r w:rsidRPr="00B74632">
        <w:rPr>
          <w:rFonts w:ascii="Garamond" w:hAnsi="Garamond"/>
          <w:sz w:val="24"/>
          <w:szCs w:val="24"/>
        </w:rPr>
        <w:t xml:space="preserve"> au CE d’intégrer l’artisanat minier dans le périmètre ITIE de manière progressive en commençant par les 3T, l’or et le diamant.</w:t>
      </w:r>
    </w:p>
    <w:p w:rsidR="007018E8" w:rsidRDefault="00AD54CB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</w:t>
      </w:r>
      <w:r w:rsidR="007018E8" w:rsidRPr="00B74632">
        <w:rPr>
          <w:rFonts w:ascii="Garamond" w:hAnsi="Garamond"/>
          <w:sz w:val="24"/>
          <w:szCs w:val="24"/>
        </w:rPr>
        <w:t xml:space="preserve">A l’issue d’un débat très riche et </w:t>
      </w:r>
      <w:r w:rsidR="00B74632" w:rsidRPr="00B74632">
        <w:rPr>
          <w:rFonts w:ascii="Garamond" w:hAnsi="Garamond"/>
          <w:sz w:val="24"/>
          <w:szCs w:val="24"/>
        </w:rPr>
        <w:t xml:space="preserve">après recueil </w:t>
      </w:r>
      <w:r w:rsidR="007018E8" w:rsidRPr="00B74632">
        <w:rPr>
          <w:rFonts w:ascii="Garamond" w:hAnsi="Garamond"/>
          <w:sz w:val="24"/>
          <w:szCs w:val="24"/>
        </w:rPr>
        <w:t>des améliorations proposées par les participants, l’étude a été jugée recevab</w:t>
      </w:r>
      <w:r w:rsidR="00B74632" w:rsidRPr="00B74632">
        <w:rPr>
          <w:rFonts w:ascii="Garamond" w:hAnsi="Garamond"/>
          <w:sz w:val="24"/>
          <w:szCs w:val="24"/>
        </w:rPr>
        <w:t xml:space="preserve">le. Cependant </w:t>
      </w:r>
      <w:r w:rsidR="007018E8" w:rsidRPr="00B74632">
        <w:rPr>
          <w:rFonts w:ascii="Garamond" w:hAnsi="Garamond"/>
          <w:sz w:val="24"/>
          <w:szCs w:val="24"/>
        </w:rPr>
        <w:t>pour la parfaire, il a été demandé aux parties prenantes de faire parvenir au ST ITIE, au plus tard le 16 courant</w:t>
      </w:r>
      <w:r w:rsidR="00B74632" w:rsidRPr="00B74632">
        <w:rPr>
          <w:rFonts w:ascii="Garamond" w:hAnsi="Garamond"/>
          <w:sz w:val="24"/>
          <w:szCs w:val="24"/>
        </w:rPr>
        <w:t>,</w:t>
      </w:r>
      <w:r w:rsidR="007018E8" w:rsidRPr="00B74632">
        <w:rPr>
          <w:rFonts w:ascii="Garamond" w:hAnsi="Garamond"/>
          <w:sz w:val="24"/>
          <w:szCs w:val="24"/>
        </w:rPr>
        <w:t xml:space="preserve"> les autres améliorations</w:t>
      </w:r>
      <w:r w:rsidR="00B74632">
        <w:rPr>
          <w:rFonts w:ascii="Garamond" w:hAnsi="Garamond"/>
          <w:sz w:val="24"/>
          <w:szCs w:val="24"/>
        </w:rPr>
        <w:t xml:space="preserve"> enfin de lui permettre de fignoler</w:t>
      </w:r>
      <w:r w:rsidR="007018E8" w:rsidRPr="00B74632">
        <w:rPr>
          <w:rFonts w:ascii="Garamond" w:hAnsi="Garamond"/>
          <w:sz w:val="24"/>
          <w:szCs w:val="24"/>
        </w:rPr>
        <w:t xml:space="preserve"> un Cadrage format ITIE à présenter au Comité Exécutif ce 30 septembre pour validation.</w:t>
      </w:r>
    </w:p>
    <w:p w:rsidR="00044625" w:rsidRDefault="00AD54CB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044625">
        <w:rPr>
          <w:rFonts w:ascii="Garamond" w:hAnsi="Garamond"/>
          <w:sz w:val="24"/>
          <w:szCs w:val="24"/>
        </w:rPr>
        <w:t xml:space="preserve">. </w:t>
      </w:r>
      <w:r w:rsidR="00BB3B5D">
        <w:rPr>
          <w:rFonts w:ascii="Garamond" w:hAnsi="Garamond"/>
          <w:sz w:val="24"/>
          <w:szCs w:val="24"/>
        </w:rPr>
        <w:t>L’état synthèse des améliorations</w:t>
      </w:r>
      <w:r w:rsidR="00523643">
        <w:rPr>
          <w:rFonts w:ascii="Garamond" w:hAnsi="Garamond"/>
          <w:sz w:val="24"/>
          <w:szCs w:val="24"/>
        </w:rPr>
        <w:t xml:space="preserve"> apportées</w:t>
      </w:r>
      <w:r w:rsidR="00BB3B5D">
        <w:rPr>
          <w:rFonts w:ascii="Garamond" w:hAnsi="Garamond"/>
          <w:sz w:val="24"/>
          <w:szCs w:val="24"/>
        </w:rPr>
        <w:t xml:space="preserve"> par  les parties prenantes  se présente comme suit :</w:t>
      </w:r>
    </w:p>
    <w:p w:rsidR="00E21561" w:rsidRDefault="00E21561" w:rsidP="00AD54CB">
      <w:pPr>
        <w:jc w:val="both"/>
        <w:rPr>
          <w:rFonts w:ascii="Garamond" w:hAnsi="Garamond"/>
          <w:sz w:val="24"/>
          <w:szCs w:val="24"/>
        </w:rPr>
        <w:sectPr w:rsidR="00E21561" w:rsidSect="00271B11">
          <w:footerReference w:type="default" r:id="rId10"/>
          <w:pgSz w:w="11906" w:h="16838"/>
          <w:pgMar w:top="1418" w:right="1418" w:bottom="1418" w:left="1418" w:header="709" w:footer="709" w:gutter="0"/>
          <w:pgBorders w:display="firstPage" w:offsetFrom="page">
            <w:top w:val="single" w:sz="48" w:space="24" w:color="4472C4" w:themeColor="accent5"/>
            <w:left w:val="single" w:sz="48" w:space="24" w:color="4472C4" w:themeColor="accent5"/>
            <w:bottom w:val="single" w:sz="48" w:space="24" w:color="4472C4" w:themeColor="accent5"/>
            <w:right w:val="single" w:sz="48" w:space="24" w:color="4472C4" w:themeColor="accent5"/>
          </w:pgBorders>
          <w:cols w:space="708"/>
          <w:docGrid w:linePitch="360"/>
        </w:sectPr>
      </w:pPr>
    </w:p>
    <w:tbl>
      <w:tblPr>
        <w:tblStyle w:val="Grilledutableau"/>
        <w:tblW w:w="14567" w:type="dxa"/>
        <w:tblLayout w:type="fixed"/>
        <w:tblLook w:val="04A0" w:firstRow="1" w:lastRow="0" w:firstColumn="1" w:lastColumn="0" w:noHBand="0" w:noVBand="1"/>
      </w:tblPr>
      <w:tblGrid>
        <w:gridCol w:w="514"/>
        <w:gridCol w:w="2345"/>
        <w:gridCol w:w="3232"/>
        <w:gridCol w:w="8476"/>
      </w:tblGrid>
      <w:tr w:rsidR="00E21561" w:rsidRPr="0052436B" w:rsidTr="00E21561">
        <w:trPr>
          <w:tblHeader/>
        </w:trPr>
        <w:tc>
          <w:tcPr>
            <w:tcW w:w="514" w:type="dxa"/>
            <w:shd w:val="clear" w:color="auto" w:fill="E7E6E6" w:themeFill="background2"/>
          </w:tcPr>
          <w:p w:rsidR="00E21561" w:rsidRPr="00165956" w:rsidRDefault="00E21561" w:rsidP="00AD54CB">
            <w:pPr>
              <w:jc w:val="both"/>
              <w:rPr>
                <w:rFonts w:ascii="Garamond" w:hAnsi="Garamond"/>
                <w:b/>
              </w:rPr>
            </w:pPr>
            <w:r w:rsidRPr="00165956">
              <w:rPr>
                <w:rFonts w:ascii="Garamond" w:hAnsi="Garamond"/>
                <w:b/>
              </w:rPr>
              <w:t>N°</w:t>
            </w:r>
          </w:p>
        </w:tc>
        <w:tc>
          <w:tcPr>
            <w:tcW w:w="2345" w:type="dxa"/>
            <w:shd w:val="clear" w:color="auto" w:fill="E7E6E6" w:themeFill="background2"/>
          </w:tcPr>
          <w:p w:rsidR="00E21561" w:rsidRPr="00165956" w:rsidRDefault="00E21561" w:rsidP="00AD54CB">
            <w:pPr>
              <w:jc w:val="both"/>
              <w:rPr>
                <w:rFonts w:ascii="Garamond" w:hAnsi="Garamond"/>
                <w:b/>
              </w:rPr>
            </w:pPr>
            <w:r w:rsidRPr="00165956">
              <w:rPr>
                <w:rFonts w:ascii="Garamond" w:hAnsi="Garamond"/>
                <w:b/>
              </w:rPr>
              <w:t>CRITERES D’EVALUATION</w:t>
            </w:r>
          </w:p>
        </w:tc>
        <w:tc>
          <w:tcPr>
            <w:tcW w:w="3232" w:type="dxa"/>
            <w:shd w:val="clear" w:color="auto" w:fill="E7E6E6" w:themeFill="background2"/>
          </w:tcPr>
          <w:p w:rsidR="00E21561" w:rsidRPr="00165956" w:rsidRDefault="00E21561" w:rsidP="00AD54CB">
            <w:pPr>
              <w:tabs>
                <w:tab w:val="left" w:pos="647"/>
              </w:tabs>
              <w:jc w:val="both"/>
              <w:rPr>
                <w:rFonts w:ascii="Garamond" w:hAnsi="Garamond"/>
                <w:b/>
              </w:rPr>
            </w:pPr>
            <w:r w:rsidRPr="00165956">
              <w:rPr>
                <w:rFonts w:ascii="Garamond" w:hAnsi="Garamond"/>
                <w:b/>
              </w:rPr>
              <w:tab/>
              <w:t>CONSTATS</w:t>
            </w:r>
          </w:p>
        </w:tc>
        <w:tc>
          <w:tcPr>
            <w:tcW w:w="8476" w:type="dxa"/>
            <w:shd w:val="clear" w:color="auto" w:fill="E7E6E6" w:themeFill="background2"/>
          </w:tcPr>
          <w:p w:rsidR="00E21561" w:rsidRPr="00165956" w:rsidRDefault="00E21561" w:rsidP="00AD54CB">
            <w:pPr>
              <w:jc w:val="both"/>
              <w:rPr>
                <w:rFonts w:ascii="Garamond" w:hAnsi="Garamond"/>
                <w:b/>
              </w:rPr>
            </w:pPr>
            <w:r w:rsidRPr="00165956">
              <w:rPr>
                <w:rFonts w:ascii="Garamond" w:hAnsi="Garamond"/>
                <w:b/>
              </w:rPr>
              <w:t>AMELIORATIONS RETENUES</w:t>
            </w:r>
          </w:p>
        </w:tc>
      </w:tr>
      <w:tr w:rsidR="00E21561" w:rsidRPr="0052436B" w:rsidTr="00E21561">
        <w:tc>
          <w:tcPr>
            <w:tcW w:w="514" w:type="dxa"/>
          </w:tcPr>
          <w:p w:rsidR="00E21561" w:rsidRPr="00165956" w:rsidRDefault="00E21561" w:rsidP="00AD54CB">
            <w:pPr>
              <w:jc w:val="both"/>
              <w:rPr>
                <w:rFonts w:ascii="Garamond" w:hAnsi="Garamond"/>
              </w:rPr>
            </w:pPr>
          </w:p>
          <w:p w:rsidR="00E21561" w:rsidRPr="00165956" w:rsidRDefault="00E21561" w:rsidP="00AD54C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45" w:type="dxa"/>
          </w:tcPr>
          <w:p w:rsidR="00E21561" w:rsidRPr="00165956" w:rsidRDefault="008226EE" w:rsidP="00AD54CB">
            <w:p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 xml:space="preserve">Exhaustivité du </w:t>
            </w:r>
            <w:r w:rsidR="00E21561" w:rsidRPr="00165956">
              <w:rPr>
                <w:rFonts w:ascii="Garamond" w:hAnsi="Garamond"/>
              </w:rPr>
              <w:t>Référentiel</w:t>
            </w:r>
            <w:r w:rsidR="001F7AEC" w:rsidRPr="00165956">
              <w:rPr>
                <w:rFonts w:ascii="Garamond" w:hAnsi="Garamond"/>
              </w:rPr>
              <w:t xml:space="preserve">  des entités  du Périmètre et des Flux</w:t>
            </w:r>
          </w:p>
        </w:tc>
        <w:tc>
          <w:tcPr>
            <w:tcW w:w="3232" w:type="dxa"/>
          </w:tcPr>
          <w:p w:rsidR="00E21561" w:rsidRPr="00165956" w:rsidRDefault="00E21561" w:rsidP="00AD54CB">
            <w:pPr>
              <w:pStyle w:val="Paragraphedeliste"/>
              <w:shd w:val="clear" w:color="auto" w:fill="FFFFFF" w:themeFill="background1"/>
              <w:tabs>
                <w:tab w:val="left" w:pos="1418"/>
              </w:tabs>
              <w:spacing w:before="240"/>
              <w:ind w:left="0"/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Omission des  certaines entités étatiques</w:t>
            </w:r>
            <w:r w:rsidR="00F00EA1" w:rsidRPr="00165956">
              <w:rPr>
                <w:rFonts w:ascii="Garamond" w:hAnsi="Garamond"/>
              </w:rPr>
              <w:t xml:space="preserve"> </w:t>
            </w:r>
            <w:r w:rsidR="008226EE" w:rsidRPr="00165956">
              <w:rPr>
                <w:rFonts w:ascii="Garamond" w:hAnsi="Garamond"/>
              </w:rPr>
              <w:t>déclarantes</w:t>
            </w:r>
            <w:r w:rsidR="00F00EA1" w:rsidRPr="00165956">
              <w:rPr>
                <w:rFonts w:ascii="Garamond" w:hAnsi="Garamond"/>
              </w:rPr>
              <w:t xml:space="preserve"> </w:t>
            </w:r>
            <w:r w:rsidR="008226EE" w:rsidRPr="00165956">
              <w:rPr>
                <w:rFonts w:ascii="Garamond" w:hAnsi="Garamond"/>
              </w:rPr>
              <w:t>(</w:t>
            </w:r>
            <w:r w:rsidRPr="00165956">
              <w:rPr>
                <w:rFonts w:ascii="Garamond" w:hAnsi="Garamond"/>
              </w:rPr>
              <w:t>ex</w:t>
            </w:r>
            <w:r w:rsidR="008226EE" w:rsidRPr="00165956">
              <w:rPr>
                <w:rFonts w:ascii="Garamond" w:hAnsi="Garamond"/>
              </w:rPr>
              <w:t> </w:t>
            </w:r>
            <w:r w:rsidRPr="00165956">
              <w:rPr>
                <w:rFonts w:ascii="Garamond" w:hAnsi="Garamond"/>
              </w:rPr>
              <w:t xml:space="preserve"> DGDA</w:t>
            </w:r>
            <w:r w:rsidR="00F00EA1" w:rsidRPr="00165956">
              <w:rPr>
                <w:rFonts w:ascii="Garamond" w:hAnsi="Garamond"/>
              </w:rPr>
              <w:t>, Commerce</w:t>
            </w:r>
            <w:r w:rsidRPr="00165956">
              <w:rPr>
                <w:rFonts w:ascii="Garamond" w:hAnsi="Garamond"/>
              </w:rPr>
              <w:t xml:space="preserve"> </w:t>
            </w:r>
            <w:r w:rsidR="00F00EA1" w:rsidRPr="00165956">
              <w:rPr>
                <w:rFonts w:ascii="Garamond" w:hAnsi="Garamond"/>
              </w:rPr>
              <w:t>extérieur..</w:t>
            </w:r>
            <w:r w:rsidR="00AC248E" w:rsidRPr="00165956">
              <w:rPr>
                <w:rFonts w:ascii="Garamond" w:hAnsi="Garamond"/>
              </w:rPr>
              <w:t>) et certains flux.</w:t>
            </w:r>
          </w:p>
        </w:tc>
        <w:tc>
          <w:tcPr>
            <w:tcW w:w="8476" w:type="dxa"/>
          </w:tcPr>
          <w:p w:rsidR="00E21561" w:rsidRPr="00165956" w:rsidRDefault="008226EE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Prendre en compte les entités étatiques suivantes ainsi que les recettes qu’elles encadrent : DGDA, Commerce extérieur, Commission à l’énergie atomique...</w:t>
            </w:r>
          </w:p>
          <w:p w:rsidR="008226EE" w:rsidRPr="00165956" w:rsidRDefault="008226EE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Prendre en compte les paiements des creuseurs</w:t>
            </w:r>
          </w:p>
          <w:p w:rsidR="008226EE" w:rsidRPr="00165956" w:rsidRDefault="008226EE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Considérer la contribution</w:t>
            </w:r>
            <w:r w:rsidR="006C2DCB" w:rsidRPr="00165956">
              <w:rPr>
                <w:rFonts w:ascii="Garamond" w:hAnsi="Garamond"/>
              </w:rPr>
              <w:t xml:space="preserve"> payée  à la Province</w:t>
            </w:r>
            <w:r w:rsidR="006C2DCB">
              <w:rPr>
                <w:rFonts w:ascii="Garamond" w:hAnsi="Garamond"/>
              </w:rPr>
              <w:t xml:space="preserve"> par les </w:t>
            </w:r>
            <w:r w:rsidRPr="00165956">
              <w:rPr>
                <w:rFonts w:ascii="Garamond" w:hAnsi="Garamond"/>
              </w:rPr>
              <w:t>artisanaux au</w:t>
            </w:r>
            <w:r w:rsidR="006C2DCB">
              <w:rPr>
                <w:rFonts w:ascii="Garamond" w:hAnsi="Garamond"/>
              </w:rPr>
              <w:t xml:space="preserve"> titre de</w:t>
            </w:r>
            <w:r w:rsidRPr="00165956">
              <w:rPr>
                <w:rFonts w:ascii="Garamond" w:hAnsi="Garamond"/>
              </w:rPr>
              <w:t xml:space="preserve"> basket </w:t>
            </w:r>
            <w:proofErr w:type="spellStart"/>
            <w:r w:rsidRPr="00165956">
              <w:rPr>
                <w:rFonts w:ascii="Garamond" w:hAnsi="Garamond"/>
              </w:rPr>
              <w:t>fund</w:t>
            </w:r>
            <w:proofErr w:type="spellEnd"/>
            <w:r w:rsidR="00504CAB" w:rsidRPr="00165956">
              <w:rPr>
                <w:rFonts w:ascii="Garamond" w:hAnsi="Garamond"/>
              </w:rPr>
              <w:t xml:space="preserve"> </w:t>
            </w:r>
          </w:p>
          <w:p w:rsidR="008226EE" w:rsidRPr="00165956" w:rsidRDefault="008226EE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 xml:space="preserve">Prendre en compte  la taxe </w:t>
            </w:r>
            <w:r w:rsidR="00F00EA1" w:rsidRPr="00165956">
              <w:rPr>
                <w:rFonts w:ascii="Garamond" w:hAnsi="Garamond"/>
              </w:rPr>
              <w:t>rémunératoire</w:t>
            </w:r>
            <w:r w:rsidRPr="00165956">
              <w:rPr>
                <w:rFonts w:ascii="Garamond" w:hAnsi="Garamond"/>
              </w:rPr>
              <w:t xml:space="preserve"> </w:t>
            </w:r>
            <w:r w:rsidR="00F00EA1" w:rsidRPr="00165956">
              <w:rPr>
                <w:rFonts w:ascii="Garamond" w:hAnsi="Garamond"/>
              </w:rPr>
              <w:t xml:space="preserve"> payée par les entités de traitement au moment de l’exportation à ITRI (montant par tonne exportée) et à la Province (1% de la valeur).</w:t>
            </w:r>
          </w:p>
          <w:p w:rsidR="00F00EA1" w:rsidRPr="00165956" w:rsidRDefault="00F00EA1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Capter le paiement sur chaque maillot de la chaine (du puit  au point d’exportation)</w:t>
            </w:r>
          </w:p>
          <w:p w:rsidR="00714116" w:rsidRPr="00165956" w:rsidRDefault="001F7AEC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 xml:space="preserve">En  sus des Entités de traitement, capter les paiements effectués par </w:t>
            </w:r>
            <w:r w:rsidR="00714116" w:rsidRPr="00165956">
              <w:rPr>
                <w:rFonts w:ascii="Garamond" w:hAnsi="Garamond"/>
              </w:rPr>
              <w:t xml:space="preserve"> tous les centres de négoces</w:t>
            </w:r>
            <w:r w:rsidRPr="00165956">
              <w:rPr>
                <w:rFonts w:ascii="Garamond" w:hAnsi="Garamond"/>
              </w:rPr>
              <w:t>, les comptoirs, les coopératives</w:t>
            </w:r>
            <w:r w:rsidR="00714116" w:rsidRPr="00165956">
              <w:rPr>
                <w:rFonts w:ascii="Garamond" w:hAnsi="Garamond"/>
              </w:rPr>
              <w:t xml:space="preserve"> et les considérer dans la </w:t>
            </w:r>
            <w:r w:rsidRPr="00165956">
              <w:rPr>
                <w:rFonts w:ascii="Garamond" w:hAnsi="Garamond"/>
              </w:rPr>
              <w:t>détermination du seuil de</w:t>
            </w:r>
            <w:r w:rsidR="00714116" w:rsidRPr="00165956">
              <w:rPr>
                <w:rFonts w:ascii="Garamond" w:hAnsi="Garamond"/>
              </w:rPr>
              <w:t xml:space="preserve"> matérialité</w:t>
            </w:r>
            <w:r w:rsidRPr="00165956">
              <w:rPr>
                <w:rFonts w:ascii="Garamond" w:hAnsi="Garamond"/>
              </w:rPr>
              <w:t>.</w:t>
            </w:r>
          </w:p>
        </w:tc>
      </w:tr>
      <w:tr w:rsidR="00AC248E" w:rsidRPr="0052436B" w:rsidTr="00E21561">
        <w:tc>
          <w:tcPr>
            <w:tcW w:w="514" w:type="dxa"/>
          </w:tcPr>
          <w:p w:rsidR="00AC248E" w:rsidRPr="00165956" w:rsidRDefault="00AC248E" w:rsidP="00AD54C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45" w:type="dxa"/>
          </w:tcPr>
          <w:p w:rsidR="00AC248E" w:rsidRPr="00165956" w:rsidRDefault="00AC248E" w:rsidP="00AD54CB">
            <w:p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Matérialité</w:t>
            </w:r>
          </w:p>
        </w:tc>
        <w:tc>
          <w:tcPr>
            <w:tcW w:w="3232" w:type="dxa"/>
          </w:tcPr>
          <w:p w:rsidR="00AC248E" w:rsidRPr="00165956" w:rsidRDefault="00AC248E" w:rsidP="00AD54CB">
            <w:pPr>
              <w:pStyle w:val="Paragraphedeliste"/>
              <w:shd w:val="clear" w:color="auto" w:fill="FFFFFF" w:themeFill="background1"/>
              <w:tabs>
                <w:tab w:val="left" w:pos="1418"/>
              </w:tabs>
              <w:spacing w:before="240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8476" w:type="dxa"/>
          </w:tcPr>
          <w:p w:rsidR="0089084C" w:rsidRPr="00165956" w:rsidRDefault="00714116" w:rsidP="00AD54CB">
            <w:pPr>
              <w:pStyle w:val="Paragraphedeliste"/>
              <w:numPr>
                <w:ilvl w:val="0"/>
                <w:numId w:val="3"/>
              </w:numPr>
              <w:ind w:left="742"/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Redéfinir le seuil en tenant en compte tous les paiements et toutes les entités omis</w:t>
            </w:r>
          </w:p>
          <w:p w:rsidR="0089084C" w:rsidRPr="00165956" w:rsidRDefault="0089084C" w:rsidP="00AD54CB">
            <w:pPr>
              <w:pStyle w:val="Paragraphedeliste"/>
              <w:numPr>
                <w:ilvl w:val="0"/>
                <w:numId w:val="3"/>
              </w:numPr>
              <w:ind w:left="742"/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Considérer l’arrêté interministériel du</w:t>
            </w:r>
            <w:r w:rsidR="00504CAB" w:rsidRPr="00165956">
              <w:rPr>
                <w:rFonts w:ascii="Garamond" w:hAnsi="Garamond"/>
              </w:rPr>
              <w:t xml:space="preserve"> 18 avril 2014 </w:t>
            </w:r>
            <w:r w:rsidRPr="00165956">
              <w:rPr>
                <w:rFonts w:ascii="Garamond" w:hAnsi="Garamond"/>
              </w:rPr>
              <w:t>qui reprend la nomenclat</w:t>
            </w:r>
            <w:r w:rsidR="00504CAB" w:rsidRPr="00165956">
              <w:rPr>
                <w:rFonts w:ascii="Garamond" w:hAnsi="Garamond"/>
              </w:rPr>
              <w:t>ure des taxes</w:t>
            </w:r>
            <w:r w:rsidRPr="00165956">
              <w:rPr>
                <w:rFonts w:ascii="Garamond" w:hAnsi="Garamond"/>
              </w:rPr>
              <w:t xml:space="preserve">  en vue de capter</w:t>
            </w:r>
            <w:r w:rsidR="006C2DCB">
              <w:rPr>
                <w:rFonts w:ascii="Garamond" w:hAnsi="Garamond"/>
              </w:rPr>
              <w:t xml:space="preserve"> tous</w:t>
            </w:r>
            <w:r w:rsidRPr="00165956">
              <w:rPr>
                <w:rFonts w:ascii="Garamond" w:hAnsi="Garamond"/>
              </w:rPr>
              <w:t xml:space="preserve">  les flux  susceptibles d’intervenir dans la définition de la matérialité</w:t>
            </w:r>
            <w:r w:rsidR="006C2DCB">
              <w:rPr>
                <w:rFonts w:ascii="Garamond" w:hAnsi="Garamond"/>
              </w:rPr>
              <w:t>.</w:t>
            </w:r>
          </w:p>
        </w:tc>
      </w:tr>
      <w:tr w:rsidR="0089084C" w:rsidRPr="0052436B" w:rsidTr="00E21561">
        <w:tc>
          <w:tcPr>
            <w:tcW w:w="514" w:type="dxa"/>
          </w:tcPr>
          <w:p w:rsidR="0089084C" w:rsidRPr="00165956" w:rsidRDefault="0089084C" w:rsidP="00AD54C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45" w:type="dxa"/>
          </w:tcPr>
          <w:p w:rsidR="0089084C" w:rsidRPr="00165956" w:rsidRDefault="0089084C" w:rsidP="00AD54CB">
            <w:p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Informations contextuelles</w:t>
            </w:r>
          </w:p>
        </w:tc>
        <w:tc>
          <w:tcPr>
            <w:tcW w:w="3232" w:type="dxa"/>
          </w:tcPr>
          <w:p w:rsidR="0089084C" w:rsidRPr="00165956" w:rsidRDefault="0089084C" w:rsidP="00AD54CB">
            <w:pPr>
              <w:pStyle w:val="Paragraphedeliste"/>
              <w:shd w:val="clear" w:color="auto" w:fill="FFFFFF" w:themeFill="background1"/>
              <w:tabs>
                <w:tab w:val="left" w:pos="1418"/>
              </w:tabs>
              <w:spacing w:before="240"/>
              <w:ind w:left="0"/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 xml:space="preserve">La production du </w:t>
            </w:r>
            <w:proofErr w:type="spellStart"/>
            <w:r w:rsidRPr="00165956">
              <w:rPr>
                <w:rFonts w:ascii="Garamond" w:hAnsi="Garamond"/>
              </w:rPr>
              <w:t>coltan</w:t>
            </w:r>
            <w:proofErr w:type="spellEnd"/>
            <w:r w:rsidRPr="00165956">
              <w:rPr>
                <w:rFonts w:ascii="Garamond" w:hAnsi="Garamond"/>
              </w:rPr>
              <w:t xml:space="preserve"> parait plus élevée que celle </w:t>
            </w:r>
            <w:r w:rsidR="00504CAB" w:rsidRPr="00165956">
              <w:rPr>
                <w:rFonts w:ascii="Garamond" w:hAnsi="Garamond"/>
              </w:rPr>
              <w:t>de la</w:t>
            </w:r>
            <w:r w:rsidRPr="00165956">
              <w:rPr>
                <w:rFonts w:ascii="Garamond" w:hAnsi="Garamond"/>
              </w:rPr>
              <w:t xml:space="preserve"> cassitérite</w:t>
            </w:r>
          </w:p>
        </w:tc>
        <w:tc>
          <w:tcPr>
            <w:tcW w:w="8476" w:type="dxa"/>
          </w:tcPr>
          <w:p w:rsidR="0089084C" w:rsidRPr="00165956" w:rsidRDefault="0089084C" w:rsidP="00AD54CB">
            <w:pPr>
              <w:pStyle w:val="Paragraphedeliste"/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 xml:space="preserve">Revoir </w:t>
            </w:r>
            <w:r w:rsidR="001F7AEC" w:rsidRPr="00165956">
              <w:rPr>
                <w:rFonts w:ascii="Garamond" w:hAnsi="Garamond"/>
              </w:rPr>
              <w:t>la source</w:t>
            </w:r>
            <w:r w:rsidR="009865F1" w:rsidRPr="00165956">
              <w:rPr>
                <w:rFonts w:ascii="Garamond" w:hAnsi="Garamond"/>
              </w:rPr>
              <w:t xml:space="preserve"> </w:t>
            </w:r>
            <w:r w:rsidRPr="00165956">
              <w:rPr>
                <w:rFonts w:ascii="Garamond" w:hAnsi="Garamond"/>
              </w:rPr>
              <w:t xml:space="preserve">d’informations et corriger cet état </w:t>
            </w:r>
          </w:p>
        </w:tc>
      </w:tr>
      <w:tr w:rsidR="00AC248E" w:rsidRPr="0052436B" w:rsidTr="00E21561">
        <w:tc>
          <w:tcPr>
            <w:tcW w:w="514" w:type="dxa"/>
          </w:tcPr>
          <w:p w:rsidR="00AC248E" w:rsidRPr="00165956" w:rsidRDefault="00AC248E" w:rsidP="00AD54C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345" w:type="dxa"/>
          </w:tcPr>
          <w:p w:rsidR="00AC248E" w:rsidRPr="00165956" w:rsidRDefault="00AC248E" w:rsidP="00AD54CB">
            <w:p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Ordre général</w:t>
            </w:r>
          </w:p>
        </w:tc>
        <w:tc>
          <w:tcPr>
            <w:tcW w:w="3232" w:type="dxa"/>
          </w:tcPr>
          <w:p w:rsidR="00AC248E" w:rsidRPr="00165956" w:rsidRDefault="00AC248E" w:rsidP="00AD54CB">
            <w:pPr>
              <w:pStyle w:val="Paragraphedeliste"/>
              <w:shd w:val="clear" w:color="auto" w:fill="FFFFFF" w:themeFill="background1"/>
              <w:tabs>
                <w:tab w:val="left" w:pos="1418"/>
              </w:tabs>
              <w:spacing w:before="240"/>
              <w:ind w:left="0"/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Omission de certaines matières</w:t>
            </w:r>
            <w:r w:rsidR="00714116" w:rsidRPr="00165956">
              <w:rPr>
                <w:rFonts w:ascii="Garamond" w:hAnsi="Garamond"/>
              </w:rPr>
              <w:t>.</w:t>
            </w:r>
          </w:p>
          <w:p w:rsidR="00AC248E" w:rsidRPr="00165956" w:rsidRDefault="006C2DCB" w:rsidP="00AD54CB">
            <w:pPr>
              <w:pStyle w:val="Paragraphedeliste"/>
              <w:shd w:val="clear" w:color="auto" w:fill="FFFFFF" w:themeFill="background1"/>
              <w:tabs>
                <w:tab w:val="left" w:pos="1418"/>
              </w:tabs>
              <w:spacing w:before="240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Disparité</w:t>
            </w:r>
            <w:r w:rsidR="00AC248E" w:rsidRPr="00165956">
              <w:rPr>
                <w:rFonts w:ascii="Garamond" w:hAnsi="Garamond"/>
              </w:rPr>
              <w:t xml:space="preserve"> dans les statistiques</w:t>
            </w:r>
          </w:p>
        </w:tc>
        <w:tc>
          <w:tcPr>
            <w:tcW w:w="8476" w:type="dxa"/>
          </w:tcPr>
          <w:p w:rsidR="006C2DCB" w:rsidRDefault="00AC248E" w:rsidP="006C2D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6C2DCB">
              <w:rPr>
                <w:rFonts w:ascii="Garamond" w:hAnsi="Garamond"/>
              </w:rPr>
              <w:t xml:space="preserve">Réévaluer </w:t>
            </w:r>
            <w:r w:rsidR="006C2DCB" w:rsidRPr="00165956">
              <w:rPr>
                <w:rFonts w:ascii="Garamond" w:hAnsi="Garamond"/>
              </w:rPr>
              <w:t xml:space="preserve">la contribution réelle de  la filière </w:t>
            </w:r>
            <w:r w:rsidR="006C2DCB">
              <w:rPr>
                <w:rFonts w:ascii="Garamond" w:hAnsi="Garamond"/>
              </w:rPr>
              <w:t>stannifère en  particulier</w:t>
            </w:r>
            <w:r w:rsidRPr="006C2DCB">
              <w:rPr>
                <w:rFonts w:ascii="Garamond" w:hAnsi="Garamond"/>
              </w:rPr>
              <w:t xml:space="preserve"> pour les Provinces du Nord et Sud Kivu, </w:t>
            </w:r>
          </w:p>
          <w:p w:rsidR="00714116" w:rsidRPr="006C2DCB" w:rsidRDefault="00714116" w:rsidP="006C2D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6C2DCB">
              <w:rPr>
                <w:rFonts w:ascii="Garamond" w:hAnsi="Garamond"/>
              </w:rPr>
              <w:t xml:space="preserve">Pour la partie géologique, consulter </w:t>
            </w:r>
            <w:r w:rsidR="0089084C" w:rsidRPr="006C2DCB">
              <w:rPr>
                <w:rFonts w:ascii="Garamond" w:hAnsi="Garamond"/>
              </w:rPr>
              <w:t>les services compétents</w:t>
            </w:r>
            <w:r w:rsidRPr="006C2DCB">
              <w:rPr>
                <w:rFonts w:ascii="Garamond" w:hAnsi="Garamond"/>
              </w:rPr>
              <w:t xml:space="preserve"> du </w:t>
            </w:r>
            <w:r w:rsidR="0089084C" w:rsidRPr="006C2DCB">
              <w:rPr>
                <w:rFonts w:ascii="Garamond" w:hAnsi="Garamond"/>
              </w:rPr>
              <w:t>Ministère</w:t>
            </w:r>
            <w:r w:rsidRPr="006C2DCB">
              <w:rPr>
                <w:rFonts w:ascii="Garamond" w:hAnsi="Garamond"/>
              </w:rPr>
              <w:t xml:space="preserve"> des mines </w:t>
            </w:r>
            <w:r w:rsidR="0089084C" w:rsidRPr="006C2DCB">
              <w:rPr>
                <w:rFonts w:ascii="Garamond" w:hAnsi="Garamond"/>
              </w:rPr>
              <w:t>afin de corriger ces disparités</w:t>
            </w:r>
            <w:r w:rsidR="001F7AEC" w:rsidRPr="006C2DCB">
              <w:rPr>
                <w:rFonts w:ascii="Garamond" w:hAnsi="Garamond"/>
              </w:rPr>
              <w:t>,</w:t>
            </w:r>
          </w:p>
          <w:p w:rsidR="00504CAB" w:rsidRPr="00165956" w:rsidRDefault="00504CAB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>Revoir le nombre de comptoirs, de coopératives et de creuseurs</w:t>
            </w:r>
            <w:r w:rsidR="006C2DCB">
              <w:rPr>
                <w:rFonts w:ascii="Garamond" w:hAnsi="Garamond"/>
              </w:rPr>
              <w:t>.</w:t>
            </w:r>
            <w:r w:rsidRPr="00165956">
              <w:rPr>
                <w:rFonts w:ascii="Garamond" w:hAnsi="Garamond"/>
              </w:rPr>
              <w:t xml:space="preserve"> </w:t>
            </w:r>
          </w:p>
          <w:p w:rsidR="001F7AEC" w:rsidRPr="00165956" w:rsidRDefault="001F7AEC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 xml:space="preserve">Supprimer la demande de l’intégration progressive du cuivre et le cobalt. Ces deux produits sont </w:t>
            </w:r>
            <w:r w:rsidR="00504CAB" w:rsidRPr="00165956">
              <w:rPr>
                <w:rFonts w:ascii="Garamond" w:hAnsi="Garamond"/>
              </w:rPr>
              <w:t>intégrés au processus de déclaration ITIE au travers les entités de traitement qui travaillent avec les artisanaux au Katanga.</w:t>
            </w:r>
          </w:p>
          <w:p w:rsidR="00AC248E" w:rsidRPr="00165956" w:rsidRDefault="00714116" w:rsidP="00AD54C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165956">
              <w:rPr>
                <w:rFonts w:ascii="Garamond" w:hAnsi="Garamond"/>
              </w:rPr>
              <w:t xml:space="preserve">Tirer les conclusions de l’étude </w:t>
            </w:r>
            <w:r w:rsidR="00504CAB" w:rsidRPr="00165956">
              <w:rPr>
                <w:rFonts w:ascii="Garamond" w:hAnsi="Garamond"/>
              </w:rPr>
              <w:t xml:space="preserve"> seulement </w:t>
            </w:r>
            <w:r w:rsidRPr="00165956">
              <w:rPr>
                <w:rFonts w:ascii="Garamond" w:hAnsi="Garamond"/>
              </w:rPr>
              <w:t>sur l’Est, ne pas les généraliser  sur l’ensemble du Territoire national</w:t>
            </w:r>
          </w:p>
          <w:p w:rsidR="0089084C" w:rsidRPr="00165956" w:rsidRDefault="0089084C" w:rsidP="00AD54CB">
            <w:pPr>
              <w:pStyle w:val="Paragraphedeliste"/>
              <w:jc w:val="both"/>
              <w:rPr>
                <w:rFonts w:ascii="Garamond" w:hAnsi="Garamond"/>
              </w:rPr>
            </w:pPr>
          </w:p>
        </w:tc>
      </w:tr>
    </w:tbl>
    <w:p w:rsidR="00E21561" w:rsidRDefault="00E21561" w:rsidP="00AD54CB">
      <w:pPr>
        <w:jc w:val="both"/>
        <w:rPr>
          <w:rFonts w:ascii="Garamond" w:hAnsi="Garamond"/>
          <w:sz w:val="24"/>
          <w:szCs w:val="24"/>
        </w:rPr>
      </w:pPr>
    </w:p>
    <w:p w:rsidR="00165956" w:rsidRDefault="00165956" w:rsidP="00AD54CB">
      <w:pPr>
        <w:jc w:val="both"/>
        <w:rPr>
          <w:rFonts w:ascii="Garamond" w:hAnsi="Garamond"/>
          <w:sz w:val="24"/>
          <w:szCs w:val="24"/>
        </w:rPr>
        <w:sectPr w:rsidR="00165956" w:rsidSect="007B6E77">
          <w:pgSz w:w="16838" w:h="11906" w:orient="landscape"/>
          <w:pgMar w:top="1418" w:right="1418" w:bottom="1418" w:left="1418" w:header="709" w:footer="709" w:gutter="0"/>
          <w:pgBorders w:offsetFrom="page">
            <w:top w:val="single" w:sz="48" w:space="24" w:color="4472C4" w:themeColor="accent5"/>
            <w:left w:val="single" w:sz="48" w:space="24" w:color="4472C4" w:themeColor="accent5"/>
            <w:bottom w:val="single" w:sz="48" w:space="24" w:color="4472C4" w:themeColor="accent5"/>
            <w:right w:val="single" w:sz="48" w:space="24" w:color="4472C4" w:themeColor="accent5"/>
          </w:pgBorders>
          <w:cols w:space="708"/>
          <w:docGrid w:linePitch="360"/>
        </w:sectPr>
      </w:pPr>
    </w:p>
    <w:p w:rsidR="00044625" w:rsidRDefault="00044625" w:rsidP="00AD54CB">
      <w:pPr>
        <w:jc w:val="both"/>
        <w:rPr>
          <w:rFonts w:ascii="Garamond" w:hAnsi="Garamond"/>
          <w:sz w:val="24"/>
          <w:szCs w:val="24"/>
        </w:rPr>
      </w:pPr>
    </w:p>
    <w:p w:rsidR="00094892" w:rsidRDefault="00AD54CB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B8357A">
        <w:rPr>
          <w:rFonts w:ascii="Garamond" w:hAnsi="Garamond"/>
          <w:sz w:val="24"/>
          <w:szCs w:val="24"/>
        </w:rPr>
        <w:t>. En conclusion, les participants ont exprimé une entière satisfaction  au sujet du projet de rapport  et du travail abattu pendant l’atelier. Cependant, quelques</w:t>
      </w:r>
      <w:r w:rsidR="00165956">
        <w:rPr>
          <w:rFonts w:ascii="Garamond" w:hAnsi="Garamond"/>
          <w:sz w:val="24"/>
          <w:szCs w:val="24"/>
        </w:rPr>
        <w:t xml:space="preserve"> experts  n’utilisant pas souvent le net,</w:t>
      </w:r>
      <w:r w:rsidR="00B8357A" w:rsidRPr="00B8357A">
        <w:rPr>
          <w:rFonts w:ascii="Garamond" w:hAnsi="Garamond"/>
          <w:sz w:val="24"/>
          <w:szCs w:val="24"/>
        </w:rPr>
        <w:t xml:space="preserve"> </w:t>
      </w:r>
      <w:r w:rsidR="00B8357A">
        <w:rPr>
          <w:rFonts w:ascii="Garamond" w:hAnsi="Garamond"/>
          <w:sz w:val="24"/>
          <w:szCs w:val="24"/>
        </w:rPr>
        <w:t>ont souhaité  obtenir le format physique et  ainsi  renvoyer leurs améliorations après.</w:t>
      </w:r>
      <w:r w:rsidR="00165956">
        <w:rPr>
          <w:rFonts w:ascii="Garamond" w:hAnsi="Garamond"/>
          <w:sz w:val="24"/>
          <w:szCs w:val="24"/>
        </w:rPr>
        <w:t xml:space="preserve"> </w:t>
      </w:r>
      <w:r w:rsidR="00094892">
        <w:rPr>
          <w:rFonts w:ascii="Garamond" w:hAnsi="Garamond"/>
          <w:sz w:val="24"/>
          <w:szCs w:val="24"/>
        </w:rPr>
        <w:t xml:space="preserve">Quelques </w:t>
      </w:r>
      <w:r w:rsidR="00165956">
        <w:rPr>
          <w:rFonts w:ascii="Garamond" w:hAnsi="Garamond"/>
          <w:sz w:val="24"/>
          <w:szCs w:val="24"/>
        </w:rPr>
        <w:t xml:space="preserve">autres ont exprimé </w:t>
      </w:r>
      <w:r w:rsidR="00094892">
        <w:rPr>
          <w:rFonts w:ascii="Garamond" w:hAnsi="Garamond"/>
          <w:sz w:val="24"/>
          <w:szCs w:val="24"/>
        </w:rPr>
        <w:t>le vœu</w:t>
      </w:r>
      <w:r w:rsidR="00165956">
        <w:rPr>
          <w:rFonts w:ascii="Garamond" w:hAnsi="Garamond"/>
          <w:sz w:val="24"/>
          <w:szCs w:val="24"/>
        </w:rPr>
        <w:t xml:space="preserve"> d’une lecture approfondie en vue d’apporter d’autres améliorations. </w:t>
      </w:r>
    </w:p>
    <w:p w:rsidR="00165956" w:rsidRDefault="00B8357A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l’unanimité, il  a été </w:t>
      </w:r>
      <w:r w:rsidR="00094892">
        <w:rPr>
          <w:rFonts w:ascii="Garamond" w:hAnsi="Garamond"/>
          <w:sz w:val="24"/>
          <w:szCs w:val="24"/>
        </w:rPr>
        <w:t xml:space="preserve"> convenu que les améliorations supplémentaires</w:t>
      </w:r>
      <w:r>
        <w:rPr>
          <w:rFonts w:ascii="Garamond" w:hAnsi="Garamond"/>
          <w:sz w:val="24"/>
          <w:szCs w:val="24"/>
        </w:rPr>
        <w:t xml:space="preserve"> devaient </w:t>
      </w:r>
      <w:r w:rsidR="00094892">
        <w:rPr>
          <w:rFonts w:ascii="Garamond" w:hAnsi="Garamond"/>
          <w:sz w:val="24"/>
          <w:szCs w:val="24"/>
        </w:rPr>
        <w:t xml:space="preserve"> parvenir au ST ITIE au plus tard  ce 10 septembre 2015</w:t>
      </w:r>
      <w:r>
        <w:rPr>
          <w:rFonts w:ascii="Garamond" w:hAnsi="Garamond"/>
          <w:sz w:val="24"/>
          <w:szCs w:val="24"/>
        </w:rPr>
        <w:t>. Ces dernières avec celles rassemblées ce jour devront être intégrées</w:t>
      </w:r>
      <w:r w:rsidR="00094892">
        <w:rPr>
          <w:rFonts w:ascii="Garamond" w:hAnsi="Garamond"/>
          <w:sz w:val="24"/>
          <w:szCs w:val="24"/>
        </w:rPr>
        <w:t xml:space="preserve"> dans le cadrage à présenter au Comité Exécutif  du  30 septembre 2015.</w:t>
      </w:r>
    </w:p>
    <w:p w:rsidR="00B8357A" w:rsidRDefault="00B8357A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Commencé à </w:t>
      </w:r>
      <w:r w:rsidR="00E97969">
        <w:rPr>
          <w:rFonts w:ascii="Garamond" w:hAnsi="Garamond"/>
          <w:sz w:val="24"/>
          <w:szCs w:val="24"/>
        </w:rPr>
        <w:t xml:space="preserve">9h 30 </w:t>
      </w:r>
      <w:r>
        <w:rPr>
          <w:rFonts w:ascii="Garamond" w:hAnsi="Garamond"/>
          <w:sz w:val="24"/>
          <w:szCs w:val="24"/>
        </w:rPr>
        <w:t>l’atelier a pris fin à 12 h 40</w:t>
      </w:r>
      <w:r w:rsidR="00E97969">
        <w:rPr>
          <w:rFonts w:ascii="Garamond" w:hAnsi="Garamond"/>
          <w:sz w:val="24"/>
          <w:szCs w:val="24"/>
        </w:rPr>
        <w:t>.</w:t>
      </w:r>
    </w:p>
    <w:p w:rsidR="00E97969" w:rsidRDefault="00E97969" w:rsidP="00AD54CB">
      <w:pPr>
        <w:jc w:val="both"/>
        <w:rPr>
          <w:rFonts w:ascii="Garamond" w:hAnsi="Garamond"/>
          <w:sz w:val="24"/>
          <w:szCs w:val="24"/>
        </w:rPr>
      </w:pPr>
    </w:p>
    <w:p w:rsidR="00E97969" w:rsidRDefault="00E97969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Fait à Kinshasa, 8/09/2015</w:t>
      </w:r>
    </w:p>
    <w:p w:rsidR="00E97969" w:rsidRDefault="00E97969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</w:t>
      </w:r>
      <w:r w:rsidR="00B8473F">
        <w:rPr>
          <w:rFonts w:ascii="Garamond" w:hAnsi="Garamond"/>
          <w:sz w:val="24"/>
          <w:szCs w:val="24"/>
        </w:rPr>
        <w:t xml:space="preserve">Rendu par </w:t>
      </w:r>
      <w:r>
        <w:rPr>
          <w:rFonts w:ascii="Garamond" w:hAnsi="Garamond"/>
          <w:sz w:val="24"/>
          <w:szCs w:val="24"/>
        </w:rPr>
        <w:t>Franck NZIRA du ST ITIE</w:t>
      </w:r>
    </w:p>
    <w:p w:rsidR="00094892" w:rsidRDefault="00094892" w:rsidP="00AD5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. </w:t>
      </w:r>
    </w:p>
    <w:p w:rsidR="00094892" w:rsidRPr="00B74632" w:rsidRDefault="00094892" w:rsidP="00AD54CB">
      <w:pPr>
        <w:jc w:val="both"/>
        <w:rPr>
          <w:rFonts w:ascii="Garamond" w:hAnsi="Garamond"/>
          <w:sz w:val="24"/>
          <w:szCs w:val="24"/>
        </w:rPr>
      </w:pPr>
    </w:p>
    <w:sectPr w:rsidR="00094892" w:rsidRPr="00B74632" w:rsidSect="007B6E77">
      <w:pgSz w:w="11906" w:h="16838"/>
      <w:pgMar w:top="1418" w:right="1418" w:bottom="1418" w:left="1418" w:header="709" w:footer="709" w:gutter="0"/>
      <w:pgBorders w:offsetFrom="page">
        <w:top w:val="single" w:sz="48" w:space="24" w:color="4472C4" w:themeColor="accent5"/>
        <w:left w:val="single" w:sz="48" w:space="24" w:color="4472C4" w:themeColor="accent5"/>
        <w:bottom w:val="single" w:sz="48" w:space="24" w:color="4472C4" w:themeColor="accent5"/>
        <w:right w:val="single" w:sz="48" w:space="24" w:color="4472C4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11" w:rsidRDefault="001F6511" w:rsidP="00165956">
      <w:pPr>
        <w:spacing w:after="0" w:line="240" w:lineRule="auto"/>
      </w:pPr>
      <w:r>
        <w:separator/>
      </w:r>
    </w:p>
  </w:endnote>
  <w:endnote w:type="continuationSeparator" w:id="0">
    <w:p w:rsidR="001F6511" w:rsidRDefault="001F6511" w:rsidP="0016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77" w:rsidRPr="007B6E77" w:rsidRDefault="007B6E77">
    <w:pPr>
      <w:pStyle w:val="Pieddepage"/>
      <w:rPr>
        <w:rFonts w:ascii="Garamond" w:hAnsi="Garamond"/>
        <w:b/>
        <w:color w:val="5B9BD5" w:themeColor="accent1"/>
        <w:sz w:val="24"/>
        <w:szCs w:val="24"/>
      </w:rPr>
    </w:pPr>
    <w:r w:rsidRPr="007B6E77">
      <w:rPr>
        <w:rFonts w:ascii="Garamond" w:hAnsi="Garamond"/>
        <w:b/>
        <w:color w:val="5B9BD5" w:themeColor="accent1"/>
        <w:sz w:val="24"/>
        <w:szCs w:val="24"/>
      </w:rPr>
      <w:t>Secrétariat Technique</w:t>
    </w:r>
  </w:p>
  <w:p w:rsidR="007B6E77" w:rsidRDefault="007B6E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11" w:rsidRDefault="001F6511" w:rsidP="00165956">
      <w:pPr>
        <w:spacing w:after="0" w:line="240" w:lineRule="auto"/>
      </w:pPr>
      <w:r>
        <w:separator/>
      </w:r>
    </w:p>
  </w:footnote>
  <w:footnote w:type="continuationSeparator" w:id="0">
    <w:p w:rsidR="001F6511" w:rsidRDefault="001F6511" w:rsidP="0016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736"/>
    <w:multiLevelType w:val="hybridMultilevel"/>
    <w:tmpl w:val="0944B432"/>
    <w:lvl w:ilvl="0" w:tplc="BBDC7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6D0031"/>
    <w:multiLevelType w:val="hybridMultilevel"/>
    <w:tmpl w:val="FF2E1450"/>
    <w:lvl w:ilvl="0" w:tplc="BBDC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54BC9"/>
    <w:multiLevelType w:val="hybridMultilevel"/>
    <w:tmpl w:val="FEB06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CD"/>
    <w:rsid w:val="0000084A"/>
    <w:rsid w:val="00003CC4"/>
    <w:rsid w:val="00004305"/>
    <w:rsid w:val="0000731F"/>
    <w:rsid w:val="0000797B"/>
    <w:rsid w:val="000112C9"/>
    <w:rsid w:val="00014613"/>
    <w:rsid w:val="00026B3D"/>
    <w:rsid w:val="00030088"/>
    <w:rsid w:val="00031462"/>
    <w:rsid w:val="000334E8"/>
    <w:rsid w:val="000337BD"/>
    <w:rsid w:val="00035A66"/>
    <w:rsid w:val="00037F44"/>
    <w:rsid w:val="00044625"/>
    <w:rsid w:val="00054824"/>
    <w:rsid w:val="0005529F"/>
    <w:rsid w:val="00056F43"/>
    <w:rsid w:val="000617A0"/>
    <w:rsid w:val="00061EDF"/>
    <w:rsid w:val="00063555"/>
    <w:rsid w:val="000636B1"/>
    <w:rsid w:val="00066146"/>
    <w:rsid w:val="0006653D"/>
    <w:rsid w:val="00066E07"/>
    <w:rsid w:val="0006706A"/>
    <w:rsid w:val="0007177D"/>
    <w:rsid w:val="00071F8D"/>
    <w:rsid w:val="000724D8"/>
    <w:rsid w:val="0007701E"/>
    <w:rsid w:val="00080539"/>
    <w:rsid w:val="00081D80"/>
    <w:rsid w:val="00090886"/>
    <w:rsid w:val="0009253B"/>
    <w:rsid w:val="00094892"/>
    <w:rsid w:val="000971E4"/>
    <w:rsid w:val="000A1CB3"/>
    <w:rsid w:val="000B2453"/>
    <w:rsid w:val="000B6A6D"/>
    <w:rsid w:val="000C4595"/>
    <w:rsid w:val="000C4975"/>
    <w:rsid w:val="000C4CE0"/>
    <w:rsid w:val="000C6201"/>
    <w:rsid w:val="000C64CE"/>
    <w:rsid w:val="000C746C"/>
    <w:rsid w:val="000C74BB"/>
    <w:rsid w:val="000D185F"/>
    <w:rsid w:val="000D25F5"/>
    <w:rsid w:val="000D6B09"/>
    <w:rsid w:val="000D6F2A"/>
    <w:rsid w:val="000D77CF"/>
    <w:rsid w:val="000E1E2B"/>
    <w:rsid w:val="000E1FF7"/>
    <w:rsid w:val="000E5A0F"/>
    <w:rsid w:val="000E7E44"/>
    <w:rsid w:val="000F081B"/>
    <w:rsid w:val="000F20DA"/>
    <w:rsid w:val="000F5EB5"/>
    <w:rsid w:val="001013BC"/>
    <w:rsid w:val="0010277C"/>
    <w:rsid w:val="00110AA8"/>
    <w:rsid w:val="00117132"/>
    <w:rsid w:val="0012166A"/>
    <w:rsid w:val="00121CA1"/>
    <w:rsid w:val="001254AE"/>
    <w:rsid w:val="001261A5"/>
    <w:rsid w:val="00136113"/>
    <w:rsid w:val="0014455A"/>
    <w:rsid w:val="00144F1B"/>
    <w:rsid w:val="00146747"/>
    <w:rsid w:val="00151D73"/>
    <w:rsid w:val="00152277"/>
    <w:rsid w:val="00156F27"/>
    <w:rsid w:val="0015704D"/>
    <w:rsid w:val="00164685"/>
    <w:rsid w:val="00165956"/>
    <w:rsid w:val="001670AB"/>
    <w:rsid w:val="001700B3"/>
    <w:rsid w:val="00171A89"/>
    <w:rsid w:val="00173998"/>
    <w:rsid w:val="00175762"/>
    <w:rsid w:val="00183AE0"/>
    <w:rsid w:val="001855E2"/>
    <w:rsid w:val="00191ED8"/>
    <w:rsid w:val="00195756"/>
    <w:rsid w:val="001962D1"/>
    <w:rsid w:val="00196A7E"/>
    <w:rsid w:val="001A0AB8"/>
    <w:rsid w:val="001A1872"/>
    <w:rsid w:val="001A2327"/>
    <w:rsid w:val="001B3787"/>
    <w:rsid w:val="001B4803"/>
    <w:rsid w:val="001C02C1"/>
    <w:rsid w:val="001C0BC8"/>
    <w:rsid w:val="001C3151"/>
    <w:rsid w:val="001C4DFE"/>
    <w:rsid w:val="001D0295"/>
    <w:rsid w:val="001E0A23"/>
    <w:rsid w:val="001E43A7"/>
    <w:rsid w:val="001E5386"/>
    <w:rsid w:val="001E77C0"/>
    <w:rsid w:val="001F2418"/>
    <w:rsid w:val="001F6511"/>
    <w:rsid w:val="001F6753"/>
    <w:rsid w:val="001F74DD"/>
    <w:rsid w:val="001F75B0"/>
    <w:rsid w:val="001F7AEC"/>
    <w:rsid w:val="00204153"/>
    <w:rsid w:val="00207489"/>
    <w:rsid w:val="00210503"/>
    <w:rsid w:val="002139B4"/>
    <w:rsid w:val="002140D0"/>
    <w:rsid w:val="00214A18"/>
    <w:rsid w:val="0022435E"/>
    <w:rsid w:val="00225199"/>
    <w:rsid w:val="00226450"/>
    <w:rsid w:val="0023554D"/>
    <w:rsid w:val="00235DB0"/>
    <w:rsid w:val="00240145"/>
    <w:rsid w:val="00242531"/>
    <w:rsid w:val="002456CB"/>
    <w:rsid w:val="002466F4"/>
    <w:rsid w:val="0024699A"/>
    <w:rsid w:val="00254F61"/>
    <w:rsid w:val="002566B5"/>
    <w:rsid w:val="002613B3"/>
    <w:rsid w:val="002647DF"/>
    <w:rsid w:val="00267E5E"/>
    <w:rsid w:val="00271B11"/>
    <w:rsid w:val="0027577B"/>
    <w:rsid w:val="00277319"/>
    <w:rsid w:val="00282640"/>
    <w:rsid w:val="00293F46"/>
    <w:rsid w:val="0029457D"/>
    <w:rsid w:val="00295BA3"/>
    <w:rsid w:val="002A1397"/>
    <w:rsid w:val="002A5D31"/>
    <w:rsid w:val="002A5E98"/>
    <w:rsid w:val="002B6ADE"/>
    <w:rsid w:val="002B6C85"/>
    <w:rsid w:val="002C2DD5"/>
    <w:rsid w:val="002C5F20"/>
    <w:rsid w:val="002C6ABF"/>
    <w:rsid w:val="002D3AD0"/>
    <w:rsid w:val="002D3FA4"/>
    <w:rsid w:val="002D51CB"/>
    <w:rsid w:val="002E0594"/>
    <w:rsid w:val="002E0F83"/>
    <w:rsid w:val="002E0FD4"/>
    <w:rsid w:val="002E7868"/>
    <w:rsid w:val="002F0AF5"/>
    <w:rsid w:val="002F1E69"/>
    <w:rsid w:val="002F43CF"/>
    <w:rsid w:val="002F753F"/>
    <w:rsid w:val="00301FBC"/>
    <w:rsid w:val="00302B01"/>
    <w:rsid w:val="00313506"/>
    <w:rsid w:val="00313FD3"/>
    <w:rsid w:val="003157E9"/>
    <w:rsid w:val="00317D17"/>
    <w:rsid w:val="00320ADD"/>
    <w:rsid w:val="00321A96"/>
    <w:rsid w:val="00323253"/>
    <w:rsid w:val="00327DCB"/>
    <w:rsid w:val="00330066"/>
    <w:rsid w:val="00330A78"/>
    <w:rsid w:val="003332DF"/>
    <w:rsid w:val="00334051"/>
    <w:rsid w:val="00334407"/>
    <w:rsid w:val="003370CE"/>
    <w:rsid w:val="00344411"/>
    <w:rsid w:val="003472E3"/>
    <w:rsid w:val="0036178F"/>
    <w:rsid w:val="00361D26"/>
    <w:rsid w:val="00363525"/>
    <w:rsid w:val="00366FBA"/>
    <w:rsid w:val="00370DBA"/>
    <w:rsid w:val="00372786"/>
    <w:rsid w:val="00372BAE"/>
    <w:rsid w:val="00374656"/>
    <w:rsid w:val="00374961"/>
    <w:rsid w:val="00381D2D"/>
    <w:rsid w:val="00383B0F"/>
    <w:rsid w:val="00391D24"/>
    <w:rsid w:val="0039210B"/>
    <w:rsid w:val="003940EB"/>
    <w:rsid w:val="00394973"/>
    <w:rsid w:val="003A1F26"/>
    <w:rsid w:val="003A2334"/>
    <w:rsid w:val="003A354C"/>
    <w:rsid w:val="003B0A57"/>
    <w:rsid w:val="003B2C9C"/>
    <w:rsid w:val="003C122F"/>
    <w:rsid w:val="003C2921"/>
    <w:rsid w:val="003C5AD2"/>
    <w:rsid w:val="003D4261"/>
    <w:rsid w:val="003E5CED"/>
    <w:rsid w:val="003F517E"/>
    <w:rsid w:val="00405108"/>
    <w:rsid w:val="00410197"/>
    <w:rsid w:val="00412938"/>
    <w:rsid w:val="00413D66"/>
    <w:rsid w:val="00416CCD"/>
    <w:rsid w:val="0041745F"/>
    <w:rsid w:val="00420925"/>
    <w:rsid w:val="0042694F"/>
    <w:rsid w:val="00430142"/>
    <w:rsid w:val="004311EE"/>
    <w:rsid w:val="00433796"/>
    <w:rsid w:val="00434415"/>
    <w:rsid w:val="004360DB"/>
    <w:rsid w:val="0044308E"/>
    <w:rsid w:val="00443705"/>
    <w:rsid w:val="00446FAC"/>
    <w:rsid w:val="004472CD"/>
    <w:rsid w:val="00447B7A"/>
    <w:rsid w:val="0045077F"/>
    <w:rsid w:val="00450AAC"/>
    <w:rsid w:val="00456CC4"/>
    <w:rsid w:val="004579BE"/>
    <w:rsid w:val="00457F50"/>
    <w:rsid w:val="00462973"/>
    <w:rsid w:val="00463057"/>
    <w:rsid w:val="0046659C"/>
    <w:rsid w:val="00473C6E"/>
    <w:rsid w:val="0047434E"/>
    <w:rsid w:val="0047443A"/>
    <w:rsid w:val="00475207"/>
    <w:rsid w:val="00476ACD"/>
    <w:rsid w:val="00484509"/>
    <w:rsid w:val="00490CB1"/>
    <w:rsid w:val="00491257"/>
    <w:rsid w:val="0049196B"/>
    <w:rsid w:val="00491EC0"/>
    <w:rsid w:val="004924FC"/>
    <w:rsid w:val="00496956"/>
    <w:rsid w:val="00496D9C"/>
    <w:rsid w:val="004B304D"/>
    <w:rsid w:val="004B7897"/>
    <w:rsid w:val="004C1266"/>
    <w:rsid w:val="004C1AD0"/>
    <w:rsid w:val="004C1F65"/>
    <w:rsid w:val="004C2903"/>
    <w:rsid w:val="004C2C30"/>
    <w:rsid w:val="004C4F75"/>
    <w:rsid w:val="004C5251"/>
    <w:rsid w:val="004C5512"/>
    <w:rsid w:val="004D0C27"/>
    <w:rsid w:val="004D1982"/>
    <w:rsid w:val="004D36F8"/>
    <w:rsid w:val="004D5B4D"/>
    <w:rsid w:val="004D60B3"/>
    <w:rsid w:val="004E257D"/>
    <w:rsid w:val="004E480E"/>
    <w:rsid w:val="004E57DB"/>
    <w:rsid w:val="004E70A9"/>
    <w:rsid w:val="004F0EC5"/>
    <w:rsid w:val="004F1E8D"/>
    <w:rsid w:val="004F4CBA"/>
    <w:rsid w:val="004F55D0"/>
    <w:rsid w:val="00501ABB"/>
    <w:rsid w:val="005037A0"/>
    <w:rsid w:val="0050453D"/>
    <w:rsid w:val="00504CAB"/>
    <w:rsid w:val="00506DD0"/>
    <w:rsid w:val="00506F05"/>
    <w:rsid w:val="005071B3"/>
    <w:rsid w:val="005075B9"/>
    <w:rsid w:val="00513ACA"/>
    <w:rsid w:val="00515284"/>
    <w:rsid w:val="005203BC"/>
    <w:rsid w:val="00522D86"/>
    <w:rsid w:val="00523643"/>
    <w:rsid w:val="0052692C"/>
    <w:rsid w:val="00532780"/>
    <w:rsid w:val="00533650"/>
    <w:rsid w:val="00534FBC"/>
    <w:rsid w:val="00542D5F"/>
    <w:rsid w:val="00542F56"/>
    <w:rsid w:val="005449F0"/>
    <w:rsid w:val="00551F02"/>
    <w:rsid w:val="0055370D"/>
    <w:rsid w:val="00555636"/>
    <w:rsid w:val="005579EC"/>
    <w:rsid w:val="0056259E"/>
    <w:rsid w:val="00564843"/>
    <w:rsid w:val="00565866"/>
    <w:rsid w:val="0057061F"/>
    <w:rsid w:val="00574D93"/>
    <w:rsid w:val="00576E17"/>
    <w:rsid w:val="00577D4B"/>
    <w:rsid w:val="00580757"/>
    <w:rsid w:val="00591AAD"/>
    <w:rsid w:val="00591D48"/>
    <w:rsid w:val="00592279"/>
    <w:rsid w:val="00592922"/>
    <w:rsid w:val="00594726"/>
    <w:rsid w:val="005A0848"/>
    <w:rsid w:val="005A08E2"/>
    <w:rsid w:val="005A1B6A"/>
    <w:rsid w:val="005A2099"/>
    <w:rsid w:val="005A4F94"/>
    <w:rsid w:val="005A638A"/>
    <w:rsid w:val="005B0629"/>
    <w:rsid w:val="005B0C25"/>
    <w:rsid w:val="005C6C53"/>
    <w:rsid w:val="005D138F"/>
    <w:rsid w:val="005D2625"/>
    <w:rsid w:val="005D5971"/>
    <w:rsid w:val="005E2E40"/>
    <w:rsid w:val="005E62C1"/>
    <w:rsid w:val="005E6DC1"/>
    <w:rsid w:val="005E7A14"/>
    <w:rsid w:val="005F1247"/>
    <w:rsid w:val="006054F5"/>
    <w:rsid w:val="00605C49"/>
    <w:rsid w:val="00606F1D"/>
    <w:rsid w:val="00610F4C"/>
    <w:rsid w:val="00614805"/>
    <w:rsid w:val="00616493"/>
    <w:rsid w:val="006171A8"/>
    <w:rsid w:val="00621288"/>
    <w:rsid w:val="00624A83"/>
    <w:rsid w:val="0063210C"/>
    <w:rsid w:val="006403D8"/>
    <w:rsid w:val="00641A56"/>
    <w:rsid w:val="00643064"/>
    <w:rsid w:val="00650CAB"/>
    <w:rsid w:val="00652525"/>
    <w:rsid w:val="00653E21"/>
    <w:rsid w:val="00670460"/>
    <w:rsid w:val="006714B4"/>
    <w:rsid w:val="00676B76"/>
    <w:rsid w:val="00677545"/>
    <w:rsid w:val="0068427C"/>
    <w:rsid w:val="006846D6"/>
    <w:rsid w:val="00686278"/>
    <w:rsid w:val="006914C2"/>
    <w:rsid w:val="00692D0D"/>
    <w:rsid w:val="00694D66"/>
    <w:rsid w:val="00696018"/>
    <w:rsid w:val="006A00D2"/>
    <w:rsid w:val="006A35F3"/>
    <w:rsid w:val="006A40D1"/>
    <w:rsid w:val="006A4845"/>
    <w:rsid w:val="006B4993"/>
    <w:rsid w:val="006C2DCB"/>
    <w:rsid w:val="006C2F62"/>
    <w:rsid w:val="006C62B1"/>
    <w:rsid w:val="006D27F7"/>
    <w:rsid w:val="006D4477"/>
    <w:rsid w:val="006D7273"/>
    <w:rsid w:val="006E1C2D"/>
    <w:rsid w:val="006E2282"/>
    <w:rsid w:val="006E799B"/>
    <w:rsid w:val="007018E8"/>
    <w:rsid w:val="00703802"/>
    <w:rsid w:val="00704B09"/>
    <w:rsid w:val="00710851"/>
    <w:rsid w:val="00714116"/>
    <w:rsid w:val="0071491D"/>
    <w:rsid w:val="0071493E"/>
    <w:rsid w:val="007200E4"/>
    <w:rsid w:val="0072365A"/>
    <w:rsid w:val="007237DD"/>
    <w:rsid w:val="007363F8"/>
    <w:rsid w:val="00736902"/>
    <w:rsid w:val="00753C8B"/>
    <w:rsid w:val="00753D48"/>
    <w:rsid w:val="00757434"/>
    <w:rsid w:val="00781E41"/>
    <w:rsid w:val="00782C8A"/>
    <w:rsid w:val="00790973"/>
    <w:rsid w:val="00797CF8"/>
    <w:rsid w:val="007A15E9"/>
    <w:rsid w:val="007A16DE"/>
    <w:rsid w:val="007A3859"/>
    <w:rsid w:val="007B1C31"/>
    <w:rsid w:val="007B5E1E"/>
    <w:rsid w:val="007B6E77"/>
    <w:rsid w:val="007C0EAB"/>
    <w:rsid w:val="007C256D"/>
    <w:rsid w:val="007C37BF"/>
    <w:rsid w:val="007C59B7"/>
    <w:rsid w:val="007C650C"/>
    <w:rsid w:val="007D384A"/>
    <w:rsid w:val="007D7BA0"/>
    <w:rsid w:val="007E48DC"/>
    <w:rsid w:val="007E5364"/>
    <w:rsid w:val="007E73CF"/>
    <w:rsid w:val="007F4DBA"/>
    <w:rsid w:val="008112AA"/>
    <w:rsid w:val="00812202"/>
    <w:rsid w:val="00813974"/>
    <w:rsid w:val="008151C5"/>
    <w:rsid w:val="0082131A"/>
    <w:rsid w:val="00822322"/>
    <w:rsid w:val="008226EE"/>
    <w:rsid w:val="008231A9"/>
    <w:rsid w:val="00824B33"/>
    <w:rsid w:val="00831FDE"/>
    <w:rsid w:val="00833CDB"/>
    <w:rsid w:val="00835650"/>
    <w:rsid w:val="00836BA9"/>
    <w:rsid w:val="008403D4"/>
    <w:rsid w:val="00844320"/>
    <w:rsid w:val="00852753"/>
    <w:rsid w:val="00860811"/>
    <w:rsid w:val="00862451"/>
    <w:rsid w:val="0086438D"/>
    <w:rsid w:val="00865B9B"/>
    <w:rsid w:val="008673C5"/>
    <w:rsid w:val="008678D3"/>
    <w:rsid w:val="00867935"/>
    <w:rsid w:val="00883015"/>
    <w:rsid w:val="00886815"/>
    <w:rsid w:val="00886F58"/>
    <w:rsid w:val="00887199"/>
    <w:rsid w:val="008902E0"/>
    <w:rsid w:val="0089084C"/>
    <w:rsid w:val="00890BB6"/>
    <w:rsid w:val="00892131"/>
    <w:rsid w:val="0089280F"/>
    <w:rsid w:val="00892DC2"/>
    <w:rsid w:val="00894ED9"/>
    <w:rsid w:val="008A5A25"/>
    <w:rsid w:val="008A6545"/>
    <w:rsid w:val="008B41F2"/>
    <w:rsid w:val="008B4605"/>
    <w:rsid w:val="008B4E75"/>
    <w:rsid w:val="008C4D3C"/>
    <w:rsid w:val="008D5F51"/>
    <w:rsid w:val="008E02ED"/>
    <w:rsid w:val="008F07FA"/>
    <w:rsid w:val="008F1842"/>
    <w:rsid w:val="008F1941"/>
    <w:rsid w:val="008F273E"/>
    <w:rsid w:val="00903B36"/>
    <w:rsid w:val="00903F80"/>
    <w:rsid w:val="00904B8F"/>
    <w:rsid w:val="00907C41"/>
    <w:rsid w:val="00907E60"/>
    <w:rsid w:val="00911B0E"/>
    <w:rsid w:val="00921088"/>
    <w:rsid w:val="009226FE"/>
    <w:rsid w:val="00924E6B"/>
    <w:rsid w:val="00925892"/>
    <w:rsid w:val="0093153E"/>
    <w:rsid w:val="00932806"/>
    <w:rsid w:val="009349C3"/>
    <w:rsid w:val="00935635"/>
    <w:rsid w:val="00936A9B"/>
    <w:rsid w:val="00937935"/>
    <w:rsid w:val="00940152"/>
    <w:rsid w:val="009407B0"/>
    <w:rsid w:val="00941392"/>
    <w:rsid w:val="0094183A"/>
    <w:rsid w:val="00942506"/>
    <w:rsid w:val="009425A3"/>
    <w:rsid w:val="00947EC5"/>
    <w:rsid w:val="00951C19"/>
    <w:rsid w:val="00951DA2"/>
    <w:rsid w:val="00952681"/>
    <w:rsid w:val="00954C43"/>
    <w:rsid w:val="00961576"/>
    <w:rsid w:val="0096230A"/>
    <w:rsid w:val="00973CF0"/>
    <w:rsid w:val="00974433"/>
    <w:rsid w:val="00975F82"/>
    <w:rsid w:val="00984BFB"/>
    <w:rsid w:val="009865F1"/>
    <w:rsid w:val="00992E43"/>
    <w:rsid w:val="009930F7"/>
    <w:rsid w:val="009942DA"/>
    <w:rsid w:val="00997E51"/>
    <w:rsid w:val="009A489D"/>
    <w:rsid w:val="009A6CE0"/>
    <w:rsid w:val="009A77B4"/>
    <w:rsid w:val="009B3726"/>
    <w:rsid w:val="009B4692"/>
    <w:rsid w:val="009C170D"/>
    <w:rsid w:val="009C2A8C"/>
    <w:rsid w:val="009C7753"/>
    <w:rsid w:val="009D0206"/>
    <w:rsid w:val="009D083B"/>
    <w:rsid w:val="009D231F"/>
    <w:rsid w:val="009D2A70"/>
    <w:rsid w:val="009D548C"/>
    <w:rsid w:val="009E15AF"/>
    <w:rsid w:val="009E1EC9"/>
    <w:rsid w:val="009E2C91"/>
    <w:rsid w:val="009E46DF"/>
    <w:rsid w:val="009E48EE"/>
    <w:rsid w:val="009E6643"/>
    <w:rsid w:val="009F3544"/>
    <w:rsid w:val="009F4454"/>
    <w:rsid w:val="009F7DD8"/>
    <w:rsid w:val="00A02CBA"/>
    <w:rsid w:val="00A0563C"/>
    <w:rsid w:val="00A07353"/>
    <w:rsid w:val="00A073F7"/>
    <w:rsid w:val="00A1067B"/>
    <w:rsid w:val="00A132D2"/>
    <w:rsid w:val="00A153D1"/>
    <w:rsid w:val="00A1678E"/>
    <w:rsid w:val="00A23765"/>
    <w:rsid w:val="00A26FD7"/>
    <w:rsid w:val="00A2740D"/>
    <w:rsid w:val="00A27F3E"/>
    <w:rsid w:val="00A31C62"/>
    <w:rsid w:val="00A3345D"/>
    <w:rsid w:val="00A367B5"/>
    <w:rsid w:val="00A40CFA"/>
    <w:rsid w:val="00A41797"/>
    <w:rsid w:val="00A417BA"/>
    <w:rsid w:val="00A60358"/>
    <w:rsid w:val="00A65211"/>
    <w:rsid w:val="00A758C8"/>
    <w:rsid w:val="00A7591C"/>
    <w:rsid w:val="00A76AFC"/>
    <w:rsid w:val="00A77A61"/>
    <w:rsid w:val="00A8058E"/>
    <w:rsid w:val="00A8128A"/>
    <w:rsid w:val="00A83419"/>
    <w:rsid w:val="00A8463A"/>
    <w:rsid w:val="00A86BC3"/>
    <w:rsid w:val="00A8707C"/>
    <w:rsid w:val="00A90D05"/>
    <w:rsid w:val="00A924FE"/>
    <w:rsid w:val="00A92EB0"/>
    <w:rsid w:val="00A93358"/>
    <w:rsid w:val="00AA0958"/>
    <w:rsid w:val="00AA370D"/>
    <w:rsid w:val="00AB52A7"/>
    <w:rsid w:val="00AC0FE2"/>
    <w:rsid w:val="00AC2115"/>
    <w:rsid w:val="00AC248E"/>
    <w:rsid w:val="00AC25CD"/>
    <w:rsid w:val="00AC4410"/>
    <w:rsid w:val="00AC44EF"/>
    <w:rsid w:val="00AC65C5"/>
    <w:rsid w:val="00AC7013"/>
    <w:rsid w:val="00AD54CB"/>
    <w:rsid w:val="00AE15EC"/>
    <w:rsid w:val="00AE46DC"/>
    <w:rsid w:val="00AE6713"/>
    <w:rsid w:val="00AF116A"/>
    <w:rsid w:val="00AF77CB"/>
    <w:rsid w:val="00B0174C"/>
    <w:rsid w:val="00B01768"/>
    <w:rsid w:val="00B027F8"/>
    <w:rsid w:val="00B107A3"/>
    <w:rsid w:val="00B11134"/>
    <w:rsid w:val="00B1760B"/>
    <w:rsid w:val="00B27822"/>
    <w:rsid w:val="00B27F76"/>
    <w:rsid w:val="00B34207"/>
    <w:rsid w:val="00B34EB2"/>
    <w:rsid w:val="00B379A9"/>
    <w:rsid w:val="00B41A63"/>
    <w:rsid w:val="00B426D7"/>
    <w:rsid w:val="00B52698"/>
    <w:rsid w:val="00B52C45"/>
    <w:rsid w:val="00B57F7F"/>
    <w:rsid w:val="00B61DDC"/>
    <w:rsid w:val="00B65AD8"/>
    <w:rsid w:val="00B7012A"/>
    <w:rsid w:val="00B71704"/>
    <w:rsid w:val="00B74632"/>
    <w:rsid w:val="00B82818"/>
    <w:rsid w:val="00B8357A"/>
    <w:rsid w:val="00B8473F"/>
    <w:rsid w:val="00B86C73"/>
    <w:rsid w:val="00B9130B"/>
    <w:rsid w:val="00B91C7E"/>
    <w:rsid w:val="00B948F1"/>
    <w:rsid w:val="00B94FEF"/>
    <w:rsid w:val="00B96B1F"/>
    <w:rsid w:val="00B96EA5"/>
    <w:rsid w:val="00BA298C"/>
    <w:rsid w:val="00BA6379"/>
    <w:rsid w:val="00BA6409"/>
    <w:rsid w:val="00BB2454"/>
    <w:rsid w:val="00BB3B5D"/>
    <w:rsid w:val="00BB6B00"/>
    <w:rsid w:val="00BB7630"/>
    <w:rsid w:val="00BC03CA"/>
    <w:rsid w:val="00BC3D7E"/>
    <w:rsid w:val="00BC660B"/>
    <w:rsid w:val="00BC677F"/>
    <w:rsid w:val="00BD25A4"/>
    <w:rsid w:val="00BD3166"/>
    <w:rsid w:val="00BD40FE"/>
    <w:rsid w:val="00BE14D6"/>
    <w:rsid w:val="00BE15EA"/>
    <w:rsid w:val="00BE2E37"/>
    <w:rsid w:val="00BE4BB9"/>
    <w:rsid w:val="00BE51BA"/>
    <w:rsid w:val="00BF3FB5"/>
    <w:rsid w:val="00BF690D"/>
    <w:rsid w:val="00BF6A7C"/>
    <w:rsid w:val="00C00D79"/>
    <w:rsid w:val="00C03082"/>
    <w:rsid w:val="00C05433"/>
    <w:rsid w:val="00C06941"/>
    <w:rsid w:val="00C1228E"/>
    <w:rsid w:val="00C146B6"/>
    <w:rsid w:val="00C20F1A"/>
    <w:rsid w:val="00C2182D"/>
    <w:rsid w:val="00C22278"/>
    <w:rsid w:val="00C26040"/>
    <w:rsid w:val="00C34AD0"/>
    <w:rsid w:val="00C34EFC"/>
    <w:rsid w:val="00C3596C"/>
    <w:rsid w:val="00C367C2"/>
    <w:rsid w:val="00C36A6D"/>
    <w:rsid w:val="00C42B0C"/>
    <w:rsid w:val="00C42B73"/>
    <w:rsid w:val="00C42CC7"/>
    <w:rsid w:val="00C43304"/>
    <w:rsid w:val="00C43F73"/>
    <w:rsid w:val="00C4611E"/>
    <w:rsid w:val="00C502E6"/>
    <w:rsid w:val="00C535E5"/>
    <w:rsid w:val="00C5465D"/>
    <w:rsid w:val="00C55ECC"/>
    <w:rsid w:val="00C63F0D"/>
    <w:rsid w:val="00C66F90"/>
    <w:rsid w:val="00C70ADA"/>
    <w:rsid w:val="00C77F19"/>
    <w:rsid w:val="00C807E3"/>
    <w:rsid w:val="00C83D32"/>
    <w:rsid w:val="00C83E54"/>
    <w:rsid w:val="00C85C08"/>
    <w:rsid w:val="00C86A66"/>
    <w:rsid w:val="00C93B31"/>
    <w:rsid w:val="00CA68C3"/>
    <w:rsid w:val="00CA6B57"/>
    <w:rsid w:val="00CA6DDC"/>
    <w:rsid w:val="00CB2E6F"/>
    <w:rsid w:val="00CB4462"/>
    <w:rsid w:val="00CB4D5D"/>
    <w:rsid w:val="00CB5DB2"/>
    <w:rsid w:val="00CC6254"/>
    <w:rsid w:val="00CC6B10"/>
    <w:rsid w:val="00CD0957"/>
    <w:rsid w:val="00CD0A04"/>
    <w:rsid w:val="00CD20D3"/>
    <w:rsid w:val="00CD72C2"/>
    <w:rsid w:val="00CE134F"/>
    <w:rsid w:val="00CE744F"/>
    <w:rsid w:val="00CF2294"/>
    <w:rsid w:val="00CF5DD2"/>
    <w:rsid w:val="00D01D76"/>
    <w:rsid w:val="00D0423D"/>
    <w:rsid w:val="00D057CC"/>
    <w:rsid w:val="00D12523"/>
    <w:rsid w:val="00D163A8"/>
    <w:rsid w:val="00D1690A"/>
    <w:rsid w:val="00D205B1"/>
    <w:rsid w:val="00D21175"/>
    <w:rsid w:val="00D2234B"/>
    <w:rsid w:val="00D2378C"/>
    <w:rsid w:val="00D251B7"/>
    <w:rsid w:val="00D26416"/>
    <w:rsid w:val="00D266A0"/>
    <w:rsid w:val="00D30C87"/>
    <w:rsid w:val="00D30DE5"/>
    <w:rsid w:val="00D311C8"/>
    <w:rsid w:val="00D317F6"/>
    <w:rsid w:val="00D32232"/>
    <w:rsid w:val="00D33A49"/>
    <w:rsid w:val="00D36932"/>
    <w:rsid w:val="00D47C7E"/>
    <w:rsid w:val="00D51208"/>
    <w:rsid w:val="00D553A4"/>
    <w:rsid w:val="00D570C1"/>
    <w:rsid w:val="00D6011C"/>
    <w:rsid w:val="00D60CFD"/>
    <w:rsid w:val="00D613B2"/>
    <w:rsid w:val="00D629AD"/>
    <w:rsid w:val="00D635A1"/>
    <w:rsid w:val="00D64A2F"/>
    <w:rsid w:val="00D66672"/>
    <w:rsid w:val="00D67DD2"/>
    <w:rsid w:val="00D67F34"/>
    <w:rsid w:val="00D7237C"/>
    <w:rsid w:val="00D74B3D"/>
    <w:rsid w:val="00D756AE"/>
    <w:rsid w:val="00D76856"/>
    <w:rsid w:val="00D76BC8"/>
    <w:rsid w:val="00D82B86"/>
    <w:rsid w:val="00D8486E"/>
    <w:rsid w:val="00D90E4E"/>
    <w:rsid w:val="00D94F97"/>
    <w:rsid w:val="00DA18D5"/>
    <w:rsid w:val="00DA2398"/>
    <w:rsid w:val="00DA3E58"/>
    <w:rsid w:val="00DA7410"/>
    <w:rsid w:val="00DB52CA"/>
    <w:rsid w:val="00DC1B1E"/>
    <w:rsid w:val="00DC4C1B"/>
    <w:rsid w:val="00DC5032"/>
    <w:rsid w:val="00DD731F"/>
    <w:rsid w:val="00DE0AE2"/>
    <w:rsid w:val="00DE7539"/>
    <w:rsid w:val="00E009C4"/>
    <w:rsid w:val="00E00A82"/>
    <w:rsid w:val="00E047E1"/>
    <w:rsid w:val="00E056A4"/>
    <w:rsid w:val="00E05E0B"/>
    <w:rsid w:val="00E1585A"/>
    <w:rsid w:val="00E21561"/>
    <w:rsid w:val="00E25B8D"/>
    <w:rsid w:val="00E303B9"/>
    <w:rsid w:val="00E33A46"/>
    <w:rsid w:val="00E34F01"/>
    <w:rsid w:val="00E40E73"/>
    <w:rsid w:val="00E428D6"/>
    <w:rsid w:val="00E435A0"/>
    <w:rsid w:val="00E53F2F"/>
    <w:rsid w:val="00E557A5"/>
    <w:rsid w:val="00E6106E"/>
    <w:rsid w:val="00E613DC"/>
    <w:rsid w:val="00E62BF6"/>
    <w:rsid w:val="00E63E19"/>
    <w:rsid w:val="00E64A8A"/>
    <w:rsid w:val="00E669B5"/>
    <w:rsid w:val="00E73590"/>
    <w:rsid w:val="00E743A9"/>
    <w:rsid w:val="00E76BF4"/>
    <w:rsid w:val="00E814CC"/>
    <w:rsid w:val="00E83630"/>
    <w:rsid w:val="00E87AC6"/>
    <w:rsid w:val="00E94A64"/>
    <w:rsid w:val="00E96539"/>
    <w:rsid w:val="00E96785"/>
    <w:rsid w:val="00E97969"/>
    <w:rsid w:val="00E979A9"/>
    <w:rsid w:val="00EA020C"/>
    <w:rsid w:val="00EA3A02"/>
    <w:rsid w:val="00EB3EE7"/>
    <w:rsid w:val="00EB6B18"/>
    <w:rsid w:val="00EB7EFD"/>
    <w:rsid w:val="00EC1262"/>
    <w:rsid w:val="00EC587C"/>
    <w:rsid w:val="00EC751B"/>
    <w:rsid w:val="00ED734F"/>
    <w:rsid w:val="00EE6F6E"/>
    <w:rsid w:val="00EE74DA"/>
    <w:rsid w:val="00EE7B24"/>
    <w:rsid w:val="00EF111E"/>
    <w:rsid w:val="00EF741B"/>
    <w:rsid w:val="00F007DC"/>
    <w:rsid w:val="00F00EA1"/>
    <w:rsid w:val="00F013CD"/>
    <w:rsid w:val="00F022F1"/>
    <w:rsid w:val="00F0378E"/>
    <w:rsid w:val="00F03B64"/>
    <w:rsid w:val="00F14D27"/>
    <w:rsid w:val="00F165DB"/>
    <w:rsid w:val="00F16A72"/>
    <w:rsid w:val="00F20087"/>
    <w:rsid w:val="00F246D4"/>
    <w:rsid w:val="00F247F8"/>
    <w:rsid w:val="00F31B8C"/>
    <w:rsid w:val="00F32D6C"/>
    <w:rsid w:val="00F339A1"/>
    <w:rsid w:val="00F36DA5"/>
    <w:rsid w:val="00F36E67"/>
    <w:rsid w:val="00F37208"/>
    <w:rsid w:val="00F407EF"/>
    <w:rsid w:val="00F43B72"/>
    <w:rsid w:val="00F46691"/>
    <w:rsid w:val="00F50716"/>
    <w:rsid w:val="00F50D12"/>
    <w:rsid w:val="00F51824"/>
    <w:rsid w:val="00F5327A"/>
    <w:rsid w:val="00F5383A"/>
    <w:rsid w:val="00F53911"/>
    <w:rsid w:val="00F5413D"/>
    <w:rsid w:val="00F545DF"/>
    <w:rsid w:val="00F601BD"/>
    <w:rsid w:val="00F637E2"/>
    <w:rsid w:val="00F674B0"/>
    <w:rsid w:val="00F67C18"/>
    <w:rsid w:val="00F745A1"/>
    <w:rsid w:val="00F7523A"/>
    <w:rsid w:val="00F84E8C"/>
    <w:rsid w:val="00F85060"/>
    <w:rsid w:val="00F876F7"/>
    <w:rsid w:val="00F91869"/>
    <w:rsid w:val="00F92F1A"/>
    <w:rsid w:val="00FA0C5B"/>
    <w:rsid w:val="00FA15AA"/>
    <w:rsid w:val="00FA3D20"/>
    <w:rsid w:val="00FA764B"/>
    <w:rsid w:val="00FA7662"/>
    <w:rsid w:val="00FB2BFC"/>
    <w:rsid w:val="00FC2343"/>
    <w:rsid w:val="00FD12A1"/>
    <w:rsid w:val="00FD156A"/>
    <w:rsid w:val="00FD2F76"/>
    <w:rsid w:val="00FD342E"/>
    <w:rsid w:val="00FD3DDE"/>
    <w:rsid w:val="00FD4559"/>
    <w:rsid w:val="00FE4D06"/>
    <w:rsid w:val="00FE5CE0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B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52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956"/>
  </w:style>
  <w:style w:type="paragraph" w:styleId="Pieddepage">
    <w:name w:val="footer"/>
    <w:basedOn w:val="Normal"/>
    <w:link w:val="PieddepageCar"/>
    <w:uiPriority w:val="99"/>
    <w:unhideWhenUsed/>
    <w:rsid w:val="0016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956"/>
  </w:style>
  <w:style w:type="paragraph" w:styleId="Citation">
    <w:name w:val="Quote"/>
    <w:basedOn w:val="Normal"/>
    <w:next w:val="Normal"/>
    <w:link w:val="CitationCar"/>
    <w:uiPriority w:val="29"/>
    <w:qFormat/>
    <w:rsid w:val="00652525"/>
    <w:pPr>
      <w:spacing w:after="200" w:line="276" w:lineRule="auto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52525"/>
    <w:rPr>
      <w:i/>
      <w:iCs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B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52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956"/>
  </w:style>
  <w:style w:type="paragraph" w:styleId="Pieddepage">
    <w:name w:val="footer"/>
    <w:basedOn w:val="Normal"/>
    <w:link w:val="PieddepageCar"/>
    <w:uiPriority w:val="99"/>
    <w:unhideWhenUsed/>
    <w:rsid w:val="0016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956"/>
  </w:style>
  <w:style w:type="paragraph" w:styleId="Citation">
    <w:name w:val="Quote"/>
    <w:basedOn w:val="Normal"/>
    <w:next w:val="Normal"/>
    <w:link w:val="CitationCar"/>
    <w:uiPriority w:val="29"/>
    <w:qFormat/>
    <w:rsid w:val="00652525"/>
    <w:pPr>
      <w:spacing w:after="200" w:line="276" w:lineRule="auto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52525"/>
    <w:rPr>
      <w:i/>
      <w:iCs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Nzira</dc:creator>
  <cp:lastModifiedBy>hp</cp:lastModifiedBy>
  <cp:revision>2</cp:revision>
  <dcterms:created xsi:type="dcterms:W3CDTF">2016-02-11T09:55:00Z</dcterms:created>
  <dcterms:modified xsi:type="dcterms:W3CDTF">2016-02-11T09:55:00Z</dcterms:modified>
</cp:coreProperties>
</file>