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F68" w:rsidRDefault="00575F68" w:rsidP="00AB2278">
      <w:pPr>
        <w:pStyle w:val="Titre"/>
        <w:jc w:val="center"/>
        <w:rPr>
          <w:rFonts w:ascii="Garamond" w:hAnsi="Garamond"/>
          <w:b/>
          <w:color w:val="00B050"/>
          <w:sz w:val="28"/>
          <w:szCs w:val="28"/>
        </w:rPr>
      </w:pPr>
      <w:bookmarkStart w:id="0" w:name="_GoBack"/>
      <w:bookmarkEnd w:id="0"/>
    </w:p>
    <w:p w:rsidR="009469D4" w:rsidRPr="00575F68" w:rsidRDefault="007B4696" w:rsidP="00AB2278">
      <w:pPr>
        <w:pStyle w:val="Titre"/>
        <w:jc w:val="center"/>
        <w:rPr>
          <w:rFonts w:ascii="Garamond" w:hAnsi="Garamond"/>
          <w:b/>
          <w:color w:val="00B050"/>
          <w:sz w:val="28"/>
          <w:szCs w:val="28"/>
        </w:rPr>
      </w:pPr>
      <w:r w:rsidRPr="00575F68">
        <w:rPr>
          <w:rFonts w:ascii="Garamond" w:hAnsi="Garamond"/>
          <w:b/>
          <w:color w:val="00B050"/>
          <w:sz w:val="28"/>
          <w:szCs w:val="28"/>
        </w:rPr>
        <w:t xml:space="preserve">Exposé des motifs </w:t>
      </w:r>
      <w:r w:rsidR="00BC1597" w:rsidRPr="00575F68">
        <w:rPr>
          <w:rFonts w:ascii="Garamond" w:hAnsi="Garamond"/>
          <w:b/>
          <w:color w:val="00B050"/>
          <w:sz w:val="28"/>
          <w:szCs w:val="28"/>
        </w:rPr>
        <w:t>pour</w:t>
      </w:r>
      <w:r w:rsidRPr="00575F68">
        <w:rPr>
          <w:rFonts w:ascii="Garamond" w:hAnsi="Garamond"/>
          <w:b/>
          <w:color w:val="00B050"/>
          <w:sz w:val="28"/>
          <w:szCs w:val="28"/>
        </w:rPr>
        <w:t xml:space="preserve"> l'élaboration du Rapport pilote ITIE-RDC 2014 du secteur minier artisanal et du secteur forestier</w:t>
      </w:r>
    </w:p>
    <w:p w:rsidR="007B4696" w:rsidRPr="00575F68" w:rsidRDefault="007B4696" w:rsidP="006D6EEE">
      <w:pPr>
        <w:jc w:val="both"/>
        <w:rPr>
          <w:rFonts w:ascii="Garamond" w:hAnsi="Garamond"/>
          <w:i/>
          <w:sz w:val="28"/>
          <w:szCs w:val="28"/>
        </w:rPr>
      </w:pPr>
      <w:r w:rsidRPr="00575F68">
        <w:rPr>
          <w:rFonts w:ascii="Garamond" w:hAnsi="Garamond"/>
          <w:b/>
          <w:color w:val="0070C0"/>
          <w:sz w:val="28"/>
          <w:szCs w:val="28"/>
        </w:rPr>
        <w:t>I. Introduction</w:t>
      </w:r>
    </w:p>
    <w:p w:rsidR="008341FC" w:rsidRPr="00575F68" w:rsidRDefault="008341FC" w:rsidP="008341FC">
      <w:pPr>
        <w:jc w:val="both"/>
        <w:rPr>
          <w:rFonts w:ascii="Garamond" w:hAnsi="Garamond" w:cs="Tahoma"/>
          <w:sz w:val="28"/>
          <w:szCs w:val="28"/>
        </w:rPr>
      </w:pPr>
      <w:r w:rsidRPr="00575F68">
        <w:rPr>
          <w:rFonts w:ascii="Garamond" w:hAnsi="Garamond" w:cs="Tahoma"/>
          <w:sz w:val="28"/>
          <w:szCs w:val="28"/>
        </w:rPr>
        <w:t>Comme on le sait, la Norme ITIE vise la promotion de la transparence, la bonne gouvernance et la redevabilité dans le secteur des Industries extractives, à savoir des industries gazières, minières et pétrolières.</w:t>
      </w:r>
      <w:r w:rsidR="00714EF2" w:rsidRPr="00575F68">
        <w:rPr>
          <w:rFonts w:ascii="Garamond" w:hAnsi="Garamond" w:cs="Tahoma"/>
          <w:sz w:val="28"/>
          <w:szCs w:val="28"/>
        </w:rPr>
        <w:t xml:space="preserve"> Toutefois, elle encourage instamment les pays ITIE à aller au-delà de ce cadrage dans la mise en œuvre des processus nationaux.</w:t>
      </w:r>
    </w:p>
    <w:p w:rsidR="00714EF2" w:rsidRPr="00575F68" w:rsidRDefault="00714EF2" w:rsidP="008341FC">
      <w:pPr>
        <w:jc w:val="both"/>
        <w:rPr>
          <w:rFonts w:ascii="Garamond" w:hAnsi="Garamond" w:cs="Tahoma"/>
          <w:sz w:val="28"/>
          <w:szCs w:val="28"/>
        </w:rPr>
      </w:pPr>
      <w:r w:rsidRPr="00575F68">
        <w:rPr>
          <w:rFonts w:ascii="Garamond" w:hAnsi="Garamond" w:cs="Tahoma"/>
          <w:sz w:val="28"/>
          <w:szCs w:val="28"/>
        </w:rPr>
        <w:t xml:space="preserve">Conformément aux Exigences de la Norme, la République Démocratique du Congo a, à ce jour, publié </w:t>
      </w:r>
      <w:r w:rsidR="000F45B7" w:rsidRPr="00575F68">
        <w:rPr>
          <w:rFonts w:ascii="Garamond" w:hAnsi="Garamond" w:cs="Tahoma"/>
          <w:sz w:val="28"/>
          <w:szCs w:val="28"/>
        </w:rPr>
        <w:t>huit (8) Rapports ITIE couvrant exclusivement les Industries minières et pétrolières, à l'exception du rapport jumelé 2008-2009 dans lequel le Comité Exécutif avait tenté l'expérience de prendre en compte les Comptoirs.</w:t>
      </w:r>
    </w:p>
    <w:p w:rsidR="008341FC" w:rsidRPr="00575F68" w:rsidRDefault="006E0C39" w:rsidP="008341FC">
      <w:pPr>
        <w:jc w:val="both"/>
        <w:rPr>
          <w:rFonts w:ascii="Garamond" w:hAnsi="Garamond" w:cs="Tahoma"/>
          <w:sz w:val="28"/>
          <w:szCs w:val="28"/>
        </w:rPr>
      </w:pPr>
      <w:r w:rsidRPr="00575F68">
        <w:rPr>
          <w:rFonts w:ascii="Garamond" w:hAnsi="Garamond" w:cs="Tahoma"/>
          <w:sz w:val="28"/>
          <w:szCs w:val="28"/>
        </w:rPr>
        <w:t>Mai</w:t>
      </w:r>
      <w:r w:rsidR="00DA6CCD" w:rsidRPr="00575F68">
        <w:rPr>
          <w:rFonts w:ascii="Garamond" w:hAnsi="Garamond" w:cs="Tahoma"/>
          <w:sz w:val="28"/>
          <w:szCs w:val="28"/>
        </w:rPr>
        <w:t>s, dans le souci de dépasser la Norme et d'étendre le champ de la transparence à d'autres secteurs, comme c'est le cas dans certains pays de mise en oeuvre, plusieurs</w:t>
      </w:r>
      <w:r w:rsidR="008341FC" w:rsidRPr="00575F68">
        <w:rPr>
          <w:rFonts w:ascii="Garamond" w:hAnsi="Garamond" w:cs="Tahoma"/>
          <w:sz w:val="28"/>
          <w:szCs w:val="28"/>
        </w:rPr>
        <w:t xml:space="preserve"> demandes</w:t>
      </w:r>
      <w:r w:rsidR="00DA6CCD" w:rsidRPr="00575F68">
        <w:rPr>
          <w:rFonts w:ascii="Garamond" w:hAnsi="Garamond" w:cs="Tahoma"/>
          <w:sz w:val="28"/>
          <w:szCs w:val="28"/>
        </w:rPr>
        <w:t xml:space="preserve"> ont été</w:t>
      </w:r>
      <w:r w:rsidR="008341FC" w:rsidRPr="00575F68">
        <w:rPr>
          <w:rFonts w:ascii="Garamond" w:hAnsi="Garamond" w:cs="Tahoma"/>
          <w:sz w:val="28"/>
          <w:szCs w:val="28"/>
        </w:rPr>
        <w:t xml:space="preserve"> formulées par différents partenaires en faveur de l'intégration </w:t>
      </w:r>
      <w:r w:rsidR="008341FC" w:rsidRPr="00575F68">
        <w:rPr>
          <w:rFonts w:ascii="Garamond" w:hAnsi="Garamond"/>
          <w:sz w:val="28"/>
          <w:szCs w:val="28"/>
        </w:rPr>
        <w:t>de la forêt et</w:t>
      </w:r>
      <w:r w:rsidR="008341FC" w:rsidRPr="00575F68">
        <w:rPr>
          <w:rFonts w:ascii="Garamond" w:hAnsi="Garamond" w:cs="Tahoma"/>
          <w:sz w:val="28"/>
          <w:szCs w:val="28"/>
        </w:rPr>
        <w:t xml:space="preserve"> de </w:t>
      </w:r>
      <w:r w:rsidR="008341FC" w:rsidRPr="00575F68">
        <w:rPr>
          <w:rFonts w:ascii="Garamond" w:hAnsi="Garamond"/>
          <w:sz w:val="28"/>
          <w:szCs w:val="28"/>
        </w:rPr>
        <w:t>l'artisanat minier dans le processus ITIE</w:t>
      </w:r>
      <w:r w:rsidR="00DA6CCD" w:rsidRPr="00575F68">
        <w:rPr>
          <w:rFonts w:ascii="Garamond" w:hAnsi="Garamond" w:cs="Tahoma"/>
          <w:sz w:val="28"/>
          <w:szCs w:val="28"/>
        </w:rPr>
        <w:t xml:space="preserve">. </w:t>
      </w:r>
      <w:r w:rsidR="00574A7B" w:rsidRPr="00575F68">
        <w:rPr>
          <w:rFonts w:ascii="Garamond" w:hAnsi="Garamond" w:cs="Tahoma"/>
          <w:sz w:val="28"/>
          <w:szCs w:val="28"/>
        </w:rPr>
        <w:t>Au regard de ces demandes</w:t>
      </w:r>
      <w:r w:rsidR="00B50B18" w:rsidRPr="00575F68">
        <w:rPr>
          <w:rFonts w:ascii="Garamond" w:hAnsi="Garamond" w:cs="Tahoma"/>
          <w:sz w:val="28"/>
          <w:szCs w:val="28"/>
        </w:rPr>
        <w:t>,</w:t>
      </w:r>
      <w:r w:rsidR="008341FC" w:rsidRPr="00575F68">
        <w:rPr>
          <w:rFonts w:ascii="Garamond" w:hAnsi="Garamond" w:cs="Tahoma"/>
          <w:sz w:val="28"/>
          <w:szCs w:val="28"/>
        </w:rPr>
        <w:t xml:space="preserve"> le Comité Exécutif avait initié et financé deux études de cadrage pour délimiter le nombre des opérateurs et des flux, et aussi circonscrire le contexte de ces deux secteurs en vue de lui permettre de décider de leur intégration dans le processus ITIE, eu égard aux conclusions des études.</w:t>
      </w:r>
    </w:p>
    <w:p w:rsidR="008341FC" w:rsidRPr="00575F68" w:rsidRDefault="008341FC" w:rsidP="008341FC">
      <w:pPr>
        <w:jc w:val="both"/>
        <w:rPr>
          <w:rFonts w:ascii="Garamond" w:hAnsi="Garamond"/>
          <w:sz w:val="28"/>
          <w:szCs w:val="28"/>
        </w:rPr>
      </w:pPr>
      <w:r w:rsidRPr="00575F68">
        <w:rPr>
          <w:rFonts w:ascii="Garamond" w:hAnsi="Garamond"/>
          <w:sz w:val="28"/>
          <w:szCs w:val="28"/>
        </w:rPr>
        <w:t>A cet effet, deux Cabinets de renom avaient été recrutés à l'issue d'un processus d'appel d'offres pour mener ces études et remettre leurs conclusions sur l'opportunité, la faisabilité et même les modalités d'intégration de l'artisanat minier et de la forêt dans le processus ITIE.</w:t>
      </w:r>
    </w:p>
    <w:p w:rsidR="008341FC" w:rsidRPr="00575F68" w:rsidRDefault="008341FC" w:rsidP="008341FC">
      <w:pPr>
        <w:jc w:val="both"/>
        <w:rPr>
          <w:rFonts w:ascii="Garamond" w:hAnsi="Garamond"/>
          <w:sz w:val="28"/>
          <w:szCs w:val="28"/>
        </w:rPr>
      </w:pPr>
      <w:r w:rsidRPr="00575F68">
        <w:rPr>
          <w:rFonts w:ascii="Garamond" w:hAnsi="Garamond"/>
          <w:sz w:val="28"/>
          <w:szCs w:val="28"/>
        </w:rPr>
        <w:t xml:space="preserve">Il s'agit de Cabinets </w:t>
      </w:r>
      <w:r w:rsidRPr="00575F68">
        <w:rPr>
          <w:rFonts w:ascii="Garamond" w:hAnsi="Garamond" w:cs="Arial"/>
          <w:sz w:val="28"/>
          <w:szCs w:val="28"/>
          <w:lang w:val="fr-CD"/>
        </w:rPr>
        <w:t>PricewaterhouseCoopers</w:t>
      </w:r>
      <w:r w:rsidRPr="00575F68">
        <w:rPr>
          <w:rFonts w:ascii="Garamond" w:hAnsi="Garamond"/>
          <w:sz w:val="28"/>
          <w:szCs w:val="28"/>
        </w:rPr>
        <w:t>, pour le secteur minier artisanal, et Moore Stephens, pour le secteur forestier. Conformément aux Termes de Référence de leur recrutement, ces deux Cabinets avaient rendu leurs Conclusions dans les rapports d'étude de cadrage respectifs.</w:t>
      </w:r>
    </w:p>
    <w:p w:rsidR="008341FC" w:rsidRPr="00575F68" w:rsidRDefault="008341FC" w:rsidP="008341FC">
      <w:pPr>
        <w:jc w:val="both"/>
        <w:rPr>
          <w:rFonts w:ascii="Garamond" w:hAnsi="Garamond"/>
          <w:sz w:val="28"/>
          <w:szCs w:val="28"/>
        </w:rPr>
      </w:pPr>
      <w:r w:rsidRPr="00575F68">
        <w:rPr>
          <w:rFonts w:ascii="Garamond" w:hAnsi="Garamond"/>
          <w:sz w:val="28"/>
          <w:szCs w:val="28"/>
        </w:rPr>
        <w:t xml:space="preserve">Après avoir été soumis au débat des parties prenantes, les deux rapports de cadrage ont été validés par le </w:t>
      </w:r>
      <w:r w:rsidRPr="00575F68">
        <w:rPr>
          <w:rFonts w:ascii="Garamond" w:hAnsi="Garamond" w:cs="Tahoma"/>
          <w:sz w:val="28"/>
          <w:szCs w:val="28"/>
        </w:rPr>
        <w:t xml:space="preserve">Comité Exécutif </w:t>
      </w:r>
      <w:r w:rsidRPr="00575F68">
        <w:rPr>
          <w:rFonts w:ascii="Garamond" w:hAnsi="Garamond"/>
          <w:sz w:val="28"/>
          <w:szCs w:val="28"/>
        </w:rPr>
        <w:t>à sa réunion du 04 novembre 2015.</w:t>
      </w:r>
    </w:p>
    <w:p w:rsidR="00575F68" w:rsidRDefault="008341FC" w:rsidP="008341FC">
      <w:pPr>
        <w:jc w:val="both"/>
        <w:rPr>
          <w:rFonts w:ascii="Garamond" w:hAnsi="Garamond"/>
          <w:sz w:val="28"/>
          <w:szCs w:val="28"/>
        </w:rPr>
      </w:pPr>
      <w:r w:rsidRPr="00575F68">
        <w:rPr>
          <w:rFonts w:ascii="Garamond" w:hAnsi="Garamond"/>
          <w:sz w:val="28"/>
          <w:szCs w:val="28"/>
        </w:rPr>
        <w:t xml:space="preserve">Toutefois, le </w:t>
      </w:r>
      <w:r w:rsidRPr="00575F68">
        <w:rPr>
          <w:rFonts w:ascii="Garamond" w:hAnsi="Garamond" w:cs="Tahoma"/>
          <w:sz w:val="28"/>
          <w:szCs w:val="28"/>
        </w:rPr>
        <w:t xml:space="preserve">Comité Exécutif </w:t>
      </w:r>
      <w:r w:rsidRPr="00575F68">
        <w:rPr>
          <w:rFonts w:ascii="Garamond" w:hAnsi="Garamond"/>
          <w:sz w:val="28"/>
          <w:szCs w:val="28"/>
        </w:rPr>
        <w:t xml:space="preserve">avait convenu  qu'il soit </w:t>
      </w:r>
      <w:r w:rsidR="005C7AA8" w:rsidRPr="00575F68">
        <w:rPr>
          <w:rFonts w:ascii="Garamond" w:hAnsi="Garamond"/>
          <w:sz w:val="28"/>
          <w:szCs w:val="28"/>
        </w:rPr>
        <w:t xml:space="preserve">au préalable </w:t>
      </w:r>
      <w:r w:rsidRPr="00575F68">
        <w:rPr>
          <w:rFonts w:ascii="Garamond" w:hAnsi="Garamond"/>
          <w:sz w:val="28"/>
          <w:szCs w:val="28"/>
        </w:rPr>
        <w:t xml:space="preserve">produit des rapports pilotes qui pourront lui permettre de se saisir de tous les enjeux pour </w:t>
      </w:r>
    </w:p>
    <w:p w:rsidR="00575F68" w:rsidRDefault="00575F68" w:rsidP="008341FC">
      <w:pPr>
        <w:jc w:val="both"/>
        <w:rPr>
          <w:rFonts w:ascii="Garamond" w:hAnsi="Garamond"/>
          <w:sz w:val="28"/>
          <w:szCs w:val="28"/>
        </w:rPr>
      </w:pPr>
    </w:p>
    <w:p w:rsidR="008341FC" w:rsidRPr="00575F68" w:rsidRDefault="008341FC" w:rsidP="008341FC">
      <w:pPr>
        <w:jc w:val="both"/>
        <w:rPr>
          <w:rFonts w:ascii="Garamond" w:hAnsi="Garamond"/>
          <w:sz w:val="28"/>
          <w:szCs w:val="28"/>
        </w:rPr>
      </w:pPr>
      <w:r w:rsidRPr="00575F68">
        <w:rPr>
          <w:rFonts w:ascii="Garamond" w:hAnsi="Garamond"/>
          <w:sz w:val="28"/>
          <w:szCs w:val="28"/>
        </w:rPr>
        <w:t>décider définitivement de l'opportunité et de modalités d'intégration de l'artisanat minier et de la forêt dans les rapports ITIE ou de l'abandon du projet.</w:t>
      </w:r>
      <w:r w:rsidR="00631CC7" w:rsidRPr="00575F68">
        <w:rPr>
          <w:rFonts w:ascii="Garamond" w:hAnsi="Garamond"/>
          <w:sz w:val="28"/>
          <w:szCs w:val="28"/>
        </w:rPr>
        <w:t xml:space="preserve"> Au fait, cette position étai</w:t>
      </w:r>
      <w:r w:rsidR="001666B8" w:rsidRPr="00575F68">
        <w:rPr>
          <w:rFonts w:ascii="Garamond" w:hAnsi="Garamond"/>
          <w:sz w:val="28"/>
          <w:szCs w:val="28"/>
        </w:rPr>
        <w:t>t prise pour concilier les deux tendances qui s'étaient dégagées dans la salle lors du débat.</w:t>
      </w:r>
      <w:r w:rsidR="007A7D93" w:rsidRPr="00575F68">
        <w:rPr>
          <w:rFonts w:ascii="Garamond" w:hAnsi="Garamond"/>
          <w:sz w:val="28"/>
          <w:szCs w:val="28"/>
        </w:rPr>
        <w:tab/>
      </w:r>
    </w:p>
    <w:p w:rsidR="008B5874" w:rsidRPr="00575F68" w:rsidRDefault="007A7D93" w:rsidP="008B5874">
      <w:pPr>
        <w:jc w:val="both"/>
        <w:rPr>
          <w:rFonts w:ascii="Garamond" w:hAnsi="Garamond"/>
          <w:sz w:val="28"/>
          <w:szCs w:val="28"/>
        </w:rPr>
      </w:pPr>
      <w:r w:rsidRPr="00575F68">
        <w:rPr>
          <w:rFonts w:ascii="Garamond" w:hAnsi="Garamond"/>
          <w:sz w:val="28"/>
          <w:szCs w:val="28"/>
        </w:rPr>
        <w:t>En effet, la première tendance</w:t>
      </w:r>
      <w:r w:rsidR="00377B4D" w:rsidRPr="00575F68">
        <w:rPr>
          <w:rFonts w:ascii="Garamond" w:hAnsi="Garamond"/>
          <w:sz w:val="28"/>
          <w:szCs w:val="28"/>
        </w:rPr>
        <w:t xml:space="preserve"> était de ceux qui avaient estimé qu'il ne valait pas la peine d'intégrer les deux secteurs dans le processus vu le niveau des revenus rapportés dans les études</w:t>
      </w:r>
      <w:r w:rsidR="0069367A" w:rsidRPr="00575F68">
        <w:rPr>
          <w:rFonts w:ascii="Garamond" w:hAnsi="Garamond"/>
          <w:sz w:val="28"/>
          <w:szCs w:val="28"/>
        </w:rPr>
        <w:t xml:space="preserve"> pour 2014, soit </w:t>
      </w:r>
      <w:r w:rsidR="0069367A" w:rsidRPr="00575F68">
        <w:rPr>
          <w:rFonts w:ascii="Garamond" w:hAnsi="Garamond"/>
          <w:b/>
          <w:sz w:val="28"/>
          <w:szCs w:val="28"/>
        </w:rPr>
        <w:t>8 356 422 USD</w:t>
      </w:r>
      <w:r w:rsidR="00D02592" w:rsidRPr="00575F68">
        <w:rPr>
          <w:rFonts w:ascii="Garamond" w:hAnsi="Garamond"/>
          <w:sz w:val="28"/>
          <w:szCs w:val="28"/>
        </w:rPr>
        <w:t xml:space="preserve"> pour le secteur forestier</w:t>
      </w:r>
      <w:r w:rsidR="008B5874" w:rsidRPr="00575F68">
        <w:rPr>
          <w:rFonts w:ascii="Garamond" w:hAnsi="Garamond"/>
          <w:sz w:val="28"/>
          <w:szCs w:val="28"/>
        </w:rPr>
        <w:t xml:space="preserve">, et </w:t>
      </w:r>
      <w:r w:rsidR="008B5874" w:rsidRPr="00575F68">
        <w:rPr>
          <w:rFonts w:ascii="Garamond" w:hAnsi="Garamond"/>
          <w:b/>
          <w:bCs/>
          <w:sz w:val="28"/>
          <w:szCs w:val="28"/>
        </w:rPr>
        <w:t xml:space="preserve">9 878 569 USD </w:t>
      </w:r>
      <w:r w:rsidR="008B5874" w:rsidRPr="00575F68">
        <w:rPr>
          <w:rFonts w:ascii="Garamond" w:hAnsi="Garamond"/>
          <w:bCs/>
          <w:sz w:val="28"/>
          <w:szCs w:val="28"/>
        </w:rPr>
        <w:t xml:space="preserve">pour l'artisanat minier. La seconde tendance </w:t>
      </w:r>
      <w:r w:rsidR="008B5874" w:rsidRPr="00575F68">
        <w:rPr>
          <w:rFonts w:ascii="Garamond" w:hAnsi="Garamond"/>
          <w:sz w:val="28"/>
          <w:szCs w:val="28"/>
        </w:rPr>
        <w:t>était de ceux qui avaient soutenu que l'intégration de ces deux secteurs dans le</w:t>
      </w:r>
      <w:r w:rsidR="003D235F" w:rsidRPr="00575F68">
        <w:rPr>
          <w:rFonts w:ascii="Garamond" w:hAnsi="Garamond"/>
          <w:sz w:val="28"/>
          <w:szCs w:val="28"/>
        </w:rPr>
        <w:t>s rapports</w:t>
      </w:r>
      <w:r w:rsidR="008B5874" w:rsidRPr="00575F68">
        <w:rPr>
          <w:rFonts w:ascii="Garamond" w:hAnsi="Garamond"/>
          <w:sz w:val="28"/>
          <w:szCs w:val="28"/>
        </w:rPr>
        <w:t xml:space="preserve"> ITIE pourra aider</w:t>
      </w:r>
      <w:r w:rsidR="00B13231" w:rsidRPr="00575F68">
        <w:rPr>
          <w:rFonts w:ascii="Garamond" w:hAnsi="Garamond"/>
          <w:sz w:val="28"/>
          <w:szCs w:val="28"/>
        </w:rPr>
        <w:t xml:space="preserve"> à y instaurer la transparence et la bonne gouvernance, et donc, à accroitre les revenus de l'Etat</w:t>
      </w:r>
      <w:r w:rsidR="0063791E" w:rsidRPr="00575F68">
        <w:rPr>
          <w:rFonts w:ascii="Garamond" w:hAnsi="Garamond"/>
          <w:sz w:val="28"/>
          <w:szCs w:val="28"/>
        </w:rPr>
        <w:t>;</w:t>
      </w:r>
      <w:r w:rsidR="002D3FDE" w:rsidRPr="00575F68">
        <w:rPr>
          <w:rFonts w:ascii="Garamond" w:hAnsi="Garamond"/>
          <w:sz w:val="28"/>
          <w:szCs w:val="28"/>
        </w:rPr>
        <w:t xml:space="preserve"> sinon, ce serait laisser l'occasion à ceux qui profitent de cette situation opaque de continuer à piller les richesses du pays et à s'enrichir illégalement</w:t>
      </w:r>
      <w:r w:rsidR="00220B68" w:rsidRPr="00575F68">
        <w:rPr>
          <w:rFonts w:ascii="Garamond" w:hAnsi="Garamond"/>
          <w:sz w:val="28"/>
          <w:szCs w:val="28"/>
        </w:rPr>
        <w:t>.</w:t>
      </w:r>
    </w:p>
    <w:p w:rsidR="0022705F" w:rsidRPr="00575F68" w:rsidRDefault="00417472" w:rsidP="008B5874">
      <w:pPr>
        <w:jc w:val="both"/>
        <w:rPr>
          <w:rFonts w:ascii="Garamond" w:hAnsi="Garamond"/>
          <w:sz w:val="28"/>
          <w:szCs w:val="28"/>
        </w:rPr>
      </w:pPr>
      <w:r w:rsidRPr="00575F68">
        <w:rPr>
          <w:rFonts w:ascii="Garamond" w:hAnsi="Garamond"/>
          <w:sz w:val="28"/>
          <w:szCs w:val="28"/>
        </w:rPr>
        <w:t>Eu égard à tout ce qui précède, le présent Exposé des motifs</w:t>
      </w:r>
      <w:r w:rsidR="00D17621" w:rsidRPr="00575F68">
        <w:rPr>
          <w:rFonts w:ascii="Garamond" w:hAnsi="Garamond"/>
          <w:sz w:val="28"/>
          <w:szCs w:val="28"/>
        </w:rPr>
        <w:t xml:space="preserve"> pour l'élaboration du rapport pilote ITIE-RDC 2014-Artisanat et Forêt se veut avoir pour rôle de fournir au Comité Exécutif plus d'éclairage sur cette question d'intégration de la forêt et de l'artisanat minier dans les rapports ITIE. Pour cela, il se fonde sur les informations complémentaires recueillies à l'issue des ateliers de formation qui ont été organisés et des missions de sensibilisation effectuées dans les provinces où les études de cadrage ont été menées.</w:t>
      </w:r>
    </w:p>
    <w:p w:rsidR="00692C8A" w:rsidRPr="00575F68" w:rsidRDefault="0022705F" w:rsidP="00692C8A">
      <w:pPr>
        <w:jc w:val="both"/>
        <w:rPr>
          <w:rFonts w:ascii="Garamond" w:hAnsi="Garamond"/>
          <w:sz w:val="28"/>
          <w:szCs w:val="28"/>
        </w:rPr>
      </w:pPr>
      <w:r w:rsidRPr="00575F68">
        <w:rPr>
          <w:rFonts w:ascii="Garamond" w:hAnsi="Garamond"/>
          <w:sz w:val="28"/>
          <w:szCs w:val="28"/>
        </w:rPr>
        <w:t xml:space="preserve">Mais, avant d'en arriver là, il convient  </w:t>
      </w:r>
      <w:r w:rsidR="00ED79DA" w:rsidRPr="00575F68">
        <w:rPr>
          <w:rFonts w:ascii="Garamond" w:hAnsi="Garamond"/>
          <w:sz w:val="28"/>
          <w:szCs w:val="28"/>
        </w:rPr>
        <w:t>de retracer</w:t>
      </w:r>
      <w:r w:rsidRPr="00575F68">
        <w:rPr>
          <w:rFonts w:ascii="Garamond" w:hAnsi="Garamond"/>
          <w:sz w:val="28"/>
          <w:szCs w:val="28"/>
        </w:rPr>
        <w:t xml:space="preserve"> ici les différentes étapes du projet d'intégration</w:t>
      </w:r>
      <w:r w:rsidR="00ED79DA" w:rsidRPr="00575F68">
        <w:rPr>
          <w:rFonts w:ascii="Garamond" w:hAnsi="Garamond"/>
          <w:sz w:val="28"/>
          <w:szCs w:val="28"/>
        </w:rPr>
        <w:t>, d</w:t>
      </w:r>
      <w:r w:rsidR="008A7580" w:rsidRPr="00575F68">
        <w:rPr>
          <w:rFonts w:ascii="Garamond" w:hAnsi="Garamond"/>
          <w:sz w:val="28"/>
          <w:szCs w:val="28"/>
        </w:rPr>
        <w:t>e faire après une articulation logique des arguments pour ou contre cette intégration, pour terminer avec une petite conclusion et quelques recommandations.</w:t>
      </w:r>
    </w:p>
    <w:p w:rsidR="007B4696" w:rsidRPr="00575F68" w:rsidRDefault="007B4696" w:rsidP="00692C8A">
      <w:pPr>
        <w:ind w:left="426" w:hanging="426"/>
        <w:jc w:val="both"/>
        <w:rPr>
          <w:rFonts w:ascii="Garamond" w:hAnsi="Garamond"/>
          <w:sz w:val="28"/>
          <w:szCs w:val="28"/>
        </w:rPr>
      </w:pPr>
      <w:r w:rsidRPr="00575F68">
        <w:rPr>
          <w:rFonts w:ascii="Garamond" w:hAnsi="Garamond"/>
          <w:b/>
          <w:color w:val="0070C0"/>
          <w:sz w:val="28"/>
          <w:szCs w:val="28"/>
        </w:rPr>
        <w:t>II. Organisation des différentes étapes du projet en fonction de la problématique de départ, des hypothèses et de la démarche</w:t>
      </w:r>
    </w:p>
    <w:p w:rsidR="00780F03" w:rsidRPr="00575F68" w:rsidRDefault="007B4696" w:rsidP="006D6EEE">
      <w:pPr>
        <w:jc w:val="both"/>
        <w:rPr>
          <w:rFonts w:ascii="Garamond" w:hAnsi="Garamond"/>
          <w:b/>
          <w:color w:val="984806" w:themeColor="accent6" w:themeShade="80"/>
          <w:sz w:val="28"/>
          <w:szCs w:val="28"/>
        </w:rPr>
      </w:pPr>
      <w:r w:rsidRPr="00575F68">
        <w:rPr>
          <w:rFonts w:ascii="Garamond" w:hAnsi="Garamond"/>
          <w:b/>
          <w:color w:val="984806" w:themeColor="accent6" w:themeShade="80"/>
          <w:sz w:val="28"/>
          <w:szCs w:val="28"/>
        </w:rPr>
        <w:t>a) Problématique de départ</w:t>
      </w:r>
    </w:p>
    <w:p w:rsidR="00575F68" w:rsidRDefault="00C41779" w:rsidP="006D6EEE">
      <w:pPr>
        <w:jc w:val="both"/>
        <w:rPr>
          <w:rFonts w:ascii="Garamond" w:hAnsi="Garamond" w:cs="Tahoma"/>
          <w:sz w:val="28"/>
          <w:szCs w:val="28"/>
        </w:rPr>
      </w:pPr>
      <w:r w:rsidRPr="00575F68">
        <w:rPr>
          <w:rFonts w:ascii="Garamond" w:eastAsia="Calibri" w:hAnsi="Garamond" w:cs="Tahoma"/>
          <w:sz w:val="28"/>
          <w:szCs w:val="28"/>
        </w:rPr>
        <w:t>Dans de nombreux pays</w:t>
      </w:r>
      <w:r w:rsidRPr="00575F68">
        <w:rPr>
          <w:rFonts w:ascii="Garamond" w:hAnsi="Garamond" w:cs="Tahoma"/>
          <w:sz w:val="28"/>
          <w:szCs w:val="28"/>
        </w:rPr>
        <w:t xml:space="preserve"> riches en ressources naturelle</w:t>
      </w:r>
      <w:r w:rsidR="008A73FE" w:rsidRPr="00575F68">
        <w:rPr>
          <w:rFonts w:ascii="Garamond" w:hAnsi="Garamond" w:cs="Tahoma"/>
          <w:sz w:val="28"/>
          <w:szCs w:val="28"/>
        </w:rPr>
        <w:t>s</w:t>
      </w:r>
      <w:r w:rsidRPr="00575F68">
        <w:rPr>
          <w:rFonts w:ascii="Garamond" w:eastAsia="Calibri" w:hAnsi="Garamond" w:cs="Tahoma"/>
          <w:sz w:val="28"/>
          <w:szCs w:val="28"/>
        </w:rPr>
        <w:t xml:space="preserve">, </w:t>
      </w:r>
      <w:r w:rsidRPr="00575F68">
        <w:rPr>
          <w:rFonts w:ascii="Garamond" w:hAnsi="Garamond" w:cs="Tahoma"/>
          <w:sz w:val="28"/>
          <w:szCs w:val="28"/>
        </w:rPr>
        <w:t>l'exploitation de ces ressources s'associe souvent</w:t>
      </w:r>
      <w:r w:rsidRPr="00575F68">
        <w:rPr>
          <w:rFonts w:ascii="Garamond" w:eastAsia="Calibri" w:hAnsi="Garamond" w:cs="Tahoma"/>
          <w:sz w:val="28"/>
          <w:szCs w:val="28"/>
        </w:rPr>
        <w:t xml:space="preserve"> à la pauvreté, au</w:t>
      </w:r>
      <w:r w:rsidRPr="00575F68">
        <w:rPr>
          <w:rFonts w:ascii="Garamond" w:hAnsi="Garamond" w:cs="Tahoma"/>
          <w:sz w:val="28"/>
          <w:szCs w:val="28"/>
        </w:rPr>
        <w:t>x</w:t>
      </w:r>
      <w:r w:rsidRPr="00575F68">
        <w:rPr>
          <w:rFonts w:ascii="Garamond" w:eastAsia="Calibri" w:hAnsi="Garamond" w:cs="Tahoma"/>
          <w:sz w:val="28"/>
          <w:szCs w:val="28"/>
        </w:rPr>
        <w:t xml:space="preserve"> conflit</w:t>
      </w:r>
      <w:r w:rsidRPr="00575F68">
        <w:rPr>
          <w:rFonts w:ascii="Garamond" w:hAnsi="Garamond" w:cs="Tahoma"/>
          <w:sz w:val="28"/>
          <w:szCs w:val="28"/>
        </w:rPr>
        <w:t>s</w:t>
      </w:r>
      <w:r w:rsidR="000F7AAC" w:rsidRPr="00575F68">
        <w:rPr>
          <w:rFonts w:ascii="Garamond" w:hAnsi="Garamond" w:cs="Tahoma"/>
          <w:sz w:val="28"/>
          <w:szCs w:val="28"/>
        </w:rPr>
        <w:t>, à la fraude</w:t>
      </w:r>
      <w:r w:rsidRPr="00575F68">
        <w:rPr>
          <w:rFonts w:ascii="Garamond" w:eastAsia="Calibri" w:hAnsi="Garamond" w:cs="Tahoma"/>
          <w:sz w:val="28"/>
          <w:szCs w:val="28"/>
        </w:rPr>
        <w:t xml:space="preserve"> et à la corruption par manque de transparence</w:t>
      </w:r>
      <w:r w:rsidR="00B022B4" w:rsidRPr="00575F68">
        <w:rPr>
          <w:rFonts w:ascii="Garamond" w:hAnsi="Garamond" w:cs="Tahoma"/>
          <w:sz w:val="28"/>
          <w:szCs w:val="28"/>
        </w:rPr>
        <w:t>, non seulement dans</w:t>
      </w:r>
      <w:r w:rsidRPr="00575F68">
        <w:rPr>
          <w:rFonts w:ascii="Garamond" w:eastAsia="Calibri" w:hAnsi="Garamond" w:cs="Tahoma"/>
          <w:sz w:val="28"/>
          <w:szCs w:val="28"/>
        </w:rPr>
        <w:t xml:space="preserve"> les paiements que </w:t>
      </w:r>
      <w:r w:rsidRPr="00575F68">
        <w:rPr>
          <w:rFonts w:ascii="Garamond" w:hAnsi="Garamond" w:cs="Tahoma"/>
          <w:sz w:val="28"/>
          <w:szCs w:val="28"/>
        </w:rPr>
        <w:t>les exploitants</w:t>
      </w:r>
      <w:r w:rsidRPr="00575F68">
        <w:rPr>
          <w:rFonts w:ascii="Garamond" w:eastAsia="Calibri" w:hAnsi="Garamond" w:cs="Tahoma"/>
          <w:sz w:val="28"/>
          <w:szCs w:val="28"/>
        </w:rPr>
        <w:t xml:space="preserve"> versent au</w:t>
      </w:r>
      <w:r w:rsidRPr="00575F68">
        <w:rPr>
          <w:rFonts w:ascii="Garamond" w:hAnsi="Garamond" w:cs="Tahoma"/>
          <w:sz w:val="28"/>
          <w:szCs w:val="28"/>
        </w:rPr>
        <w:t>x</w:t>
      </w:r>
      <w:r w:rsidRPr="00575F68">
        <w:rPr>
          <w:rFonts w:ascii="Garamond" w:eastAsia="Calibri" w:hAnsi="Garamond" w:cs="Tahoma"/>
          <w:sz w:val="28"/>
          <w:szCs w:val="28"/>
        </w:rPr>
        <w:t xml:space="preserve"> gouvernement</w:t>
      </w:r>
      <w:r w:rsidRPr="00575F68">
        <w:rPr>
          <w:rFonts w:ascii="Garamond" w:hAnsi="Garamond" w:cs="Tahoma"/>
          <w:sz w:val="28"/>
          <w:szCs w:val="28"/>
        </w:rPr>
        <w:t>s</w:t>
      </w:r>
      <w:r w:rsidR="00B022B4" w:rsidRPr="00575F68">
        <w:rPr>
          <w:rFonts w:ascii="Garamond" w:hAnsi="Garamond" w:cs="Tahoma"/>
          <w:sz w:val="28"/>
          <w:szCs w:val="28"/>
        </w:rPr>
        <w:t xml:space="preserve"> et</w:t>
      </w:r>
      <w:r w:rsidRPr="00575F68">
        <w:rPr>
          <w:rFonts w:ascii="Garamond" w:eastAsia="Calibri" w:hAnsi="Garamond" w:cs="Tahoma"/>
          <w:sz w:val="28"/>
          <w:szCs w:val="28"/>
        </w:rPr>
        <w:t xml:space="preserve"> les </w:t>
      </w:r>
      <w:r w:rsidRPr="00575F68">
        <w:rPr>
          <w:rFonts w:ascii="Garamond" w:hAnsi="Garamond" w:cs="Tahoma"/>
          <w:sz w:val="28"/>
          <w:szCs w:val="28"/>
        </w:rPr>
        <w:t>revenus que les gouvernements per</w:t>
      </w:r>
      <w:r w:rsidRPr="00575F68">
        <w:rPr>
          <w:rFonts w:ascii="Garamond" w:eastAsia="Calibri" w:hAnsi="Garamond" w:cs="Tahoma"/>
          <w:sz w:val="28"/>
          <w:szCs w:val="28"/>
        </w:rPr>
        <w:t xml:space="preserve">çoivent de ces </w:t>
      </w:r>
      <w:r w:rsidRPr="00575F68">
        <w:rPr>
          <w:rFonts w:ascii="Garamond" w:hAnsi="Garamond" w:cs="Tahoma"/>
          <w:sz w:val="28"/>
          <w:szCs w:val="28"/>
        </w:rPr>
        <w:t>exploitants</w:t>
      </w:r>
      <w:r w:rsidR="00B022B4" w:rsidRPr="00575F68">
        <w:rPr>
          <w:rFonts w:ascii="Garamond" w:hAnsi="Garamond" w:cs="Tahoma"/>
          <w:sz w:val="28"/>
          <w:szCs w:val="28"/>
        </w:rPr>
        <w:t xml:space="preserve">, mais aussi, dans les chaînes d'approvisionnement en ce qui concerne </w:t>
      </w:r>
    </w:p>
    <w:p w:rsidR="00575F68" w:rsidRDefault="00575F68" w:rsidP="006D6EEE">
      <w:pPr>
        <w:jc w:val="both"/>
        <w:rPr>
          <w:rFonts w:ascii="Garamond" w:hAnsi="Garamond" w:cs="Tahoma"/>
          <w:sz w:val="28"/>
          <w:szCs w:val="28"/>
        </w:rPr>
      </w:pPr>
    </w:p>
    <w:p w:rsidR="00575F68" w:rsidRDefault="00575F68" w:rsidP="006D6EEE">
      <w:pPr>
        <w:jc w:val="both"/>
        <w:rPr>
          <w:rFonts w:ascii="Garamond" w:hAnsi="Garamond" w:cs="Tahoma"/>
          <w:sz w:val="28"/>
          <w:szCs w:val="28"/>
        </w:rPr>
      </w:pPr>
    </w:p>
    <w:p w:rsidR="00C41779" w:rsidRPr="00575F68" w:rsidRDefault="00B022B4" w:rsidP="006D6EEE">
      <w:pPr>
        <w:jc w:val="both"/>
        <w:rPr>
          <w:rFonts w:ascii="Garamond" w:hAnsi="Garamond" w:cs="Tahoma"/>
          <w:sz w:val="28"/>
          <w:szCs w:val="28"/>
        </w:rPr>
      </w:pPr>
      <w:r w:rsidRPr="00575F68">
        <w:rPr>
          <w:rFonts w:ascii="Garamond" w:hAnsi="Garamond" w:cs="Tahoma"/>
          <w:sz w:val="28"/>
          <w:szCs w:val="28"/>
        </w:rPr>
        <w:t>l'artisanat</w:t>
      </w:r>
      <w:r w:rsidR="00EC791F" w:rsidRPr="00575F68">
        <w:rPr>
          <w:rFonts w:ascii="Garamond" w:hAnsi="Garamond" w:cs="Tahoma"/>
          <w:sz w:val="28"/>
          <w:szCs w:val="28"/>
        </w:rPr>
        <w:t xml:space="preserve"> minier</w:t>
      </w:r>
      <w:r w:rsidR="00C41779" w:rsidRPr="00575F68">
        <w:rPr>
          <w:rFonts w:ascii="Garamond" w:hAnsi="Garamond" w:cs="Tahoma"/>
          <w:sz w:val="28"/>
          <w:szCs w:val="28"/>
        </w:rPr>
        <w:t>.</w:t>
      </w:r>
      <w:r w:rsidR="008A73FE" w:rsidRPr="00575F68">
        <w:rPr>
          <w:rFonts w:ascii="Garamond" w:hAnsi="Garamond" w:cs="Tahoma"/>
          <w:sz w:val="28"/>
          <w:szCs w:val="28"/>
        </w:rPr>
        <w:t xml:space="preserve"> Cet état de choses n'a pas laissé indifférent</w:t>
      </w:r>
      <w:r w:rsidR="00EC791F" w:rsidRPr="00575F68">
        <w:rPr>
          <w:rFonts w:ascii="Garamond" w:hAnsi="Garamond" w:cs="Tahoma"/>
          <w:sz w:val="28"/>
          <w:szCs w:val="28"/>
        </w:rPr>
        <w:t>e</w:t>
      </w:r>
      <w:r w:rsidR="008A73FE" w:rsidRPr="00575F68">
        <w:rPr>
          <w:rFonts w:ascii="Garamond" w:hAnsi="Garamond" w:cs="Tahoma"/>
          <w:sz w:val="28"/>
          <w:szCs w:val="28"/>
        </w:rPr>
        <w:t xml:space="preserve">s les </w:t>
      </w:r>
      <w:r w:rsidR="00EC791F" w:rsidRPr="00575F68">
        <w:rPr>
          <w:rFonts w:ascii="Garamond" w:hAnsi="Garamond" w:cs="Tahoma"/>
          <w:sz w:val="28"/>
          <w:szCs w:val="28"/>
        </w:rPr>
        <w:t>parties prenantes</w:t>
      </w:r>
      <w:r w:rsidR="008A73FE" w:rsidRPr="00575F68">
        <w:rPr>
          <w:rFonts w:ascii="Garamond" w:hAnsi="Garamond" w:cs="Tahoma"/>
          <w:sz w:val="28"/>
          <w:szCs w:val="28"/>
        </w:rPr>
        <w:t xml:space="preserve"> impliqué</w:t>
      </w:r>
      <w:r w:rsidR="00EC791F" w:rsidRPr="00575F68">
        <w:rPr>
          <w:rFonts w:ascii="Garamond" w:hAnsi="Garamond" w:cs="Tahoma"/>
          <w:sz w:val="28"/>
          <w:szCs w:val="28"/>
        </w:rPr>
        <w:t>e</w:t>
      </w:r>
      <w:r w:rsidR="008A73FE" w:rsidRPr="00575F68">
        <w:rPr>
          <w:rFonts w:ascii="Garamond" w:hAnsi="Garamond" w:cs="Tahoma"/>
          <w:sz w:val="28"/>
          <w:szCs w:val="28"/>
        </w:rPr>
        <w:t>s dans le secteur des ressources naturelles</w:t>
      </w:r>
      <w:r w:rsidR="00EC791F" w:rsidRPr="00575F68">
        <w:rPr>
          <w:rFonts w:ascii="Garamond" w:hAnsi="Garamond" w:cs="Tahoma"/>
          <w:sz w:val="28"/>
          <w:szCs w:val="28"/>
        </w:rPr>
        <w:t>.</w:t>
      </w:r>
    </w:p>
    <w:p w:rsidR="000F7AAC" w:rsidRPr="00575F68" w:rsidRDefault="00BB2206" w:rsidP="006D6EEE">
      <w:pPr>
        <w:jc w:val="both"/>
        <w:rPr>
          <w:rFonts w:ascii="Garamond" w:hAnsi="Garamond"/>
          <w:sz w:val="28"/>
          <w:szCs w:val="28"/>
        </w:rPr>
      </w:pPr>
      <w:r w:rsidRPr="00575F68">
        <w:rPr>
          <w:rFonts w:ascii="Garamond" w:hAnsi="Garamond" w:cs="Tahoma"/>
          <w:sz w:val="28"/>
          <w:szCs w:val="28"/>
        </w:rPr>
        <w:t>C'est ainsi que d</w:t>
      </w:r>
      <w:r w:rsidR="008A73FE" w:rsidRPr="00575F68">
        <w:rPr>
          <w:rFonts w:ascii="Garamond" w:hAnsi="Garamond" w:cs="Tahoma"/>
          <w:sz w:val="28"/>
          <w:szCs w:val="28"/>
        </w:rPr>
        <w:t>ans le cas de la RDC,</w:t>
      </w:r>
      <w:r w:rsidRPr="00575F68">
        <w:rPr>
          <w:rFonts w:ascii="Garamond" w:hAnsi="Garamond" w:cs="Tahoma"/>
          <w:sz w:val="28"/>
          <w:szCs w:val="28"/>
        </w:rPr>
        <w:t xml:space="preserve"> motivés par les progrès accomplis dans la transparence des Industries minières et pétrolières,</w:t>
      </w:r>
      <w:r w:rsidR="008A73FE" w:rsidRPr="00575F68">
        <w:rPr>
          <w:rFonts w:ascii="Garamond" w:hAnsi="Garamond" w:cs="Tahoma"/>
          <w:sz w:val="28"/>
          <w:szCs w:val="28"/>
        </w:rPr>
        <w:t xml:space="preserve"> le Gouvernement</w:t>
      </w:r>
      <w:r w:rsidRPr="00575F68">
        <w:rPr>
          <w:rFonts w:ascii="Garamond" w:hAnsi="Garamond"/>
          <w:sz w:val="28"/>
          <w:szCs w:val="28"/>
        </w:rPr>
        <w:t>Congolais, la CIRGL, le Secrétariat International de l'ITIE, l'Union Européenne</w:t>
      </w:r>
      <w:r w:rsidR="00780F03" w:rsidRPr="00575F68">
        <w:rPr>
          <w:rFonts w:ascii="Garamond" w:hAnsi="Garamond"/>
          <w:sz w:val="28"/>
          <w:szCs w:val="28"/>
        </w:rPr>
        <w:t xml:space="preserve">avaient </w:t>
      </w:r>
      <w:r w:rsidR="00056DE8" w:rsidRPr="00575F68">
        <w:rPr>
          <w:rFonts w:ascii="Garamond" w:hAnsi="Garamond"/>
          <w:sz w:val="28"/>
          <w:szCs w:val="28"/>
        </w:rPr>
        <w:t>formulé des demandes en faveur de l'intégration de l'artisanat minier et de la forêt dans le processus ITIE.</w:t>
      </w:r>
    </w:p>
    <w:p w:rsidR="00F64461" w:rsidRPr="00575F68" w:rsidRDefault="00F64461" w:rsidP="00F64461">
      <w:pPr>
        <w:pStyle w:val="Paragraphedeliste"/>
        <w:numPr>
          <w:ilvl w:val="0"/>
          <w:numId w:val="1"/>
        </w:numPr>
        <w:jc w:val="both"/>
        <w:rPr>
          <w:rFonts w:ascii="Garamond" w:hAnsi="Garamond"/>
          <w:b/>
          <w:sz w:val="28"/>
          <w:szCs w:val="28"/>
        </w:rPr>
      </w:pPr>
      <w:r w:rsidRPr="00575F68">
        <w:rPr>
          <w:rFonts w:ascii="Garamond" w:hAnsi="Garamond"/>
          <w:b/>
          <w:sz w:val="28"/>
          <w:szCs w:val="28"/>
        </w:rPr>
        <w:t>Demande du Gouvernement</w:t>
      </w:r>
    </w:p>
    <w:p w:rsidR="006B5F07" w:rsidRPr="00575F68" w:rsidRDefault="004E0A95" w:rsidP="006B5F07">
      <w:pPr>
        <w:pStyle w:val="Paragraphedeliste"/>
        <w:spacing w:after="160" w:line="259" w:lineRule="auto"/>
        <w:ind w:left="0" w:firstLine="720"/>
        <w:jc w:val="both"/>
        <w:rPr>
          <w:rFonts w:ascii="Garamond" w:hAnsi="Garamond"/>
          <w:sz w:val="28"/>
          <w:szCs w:val="28"/>
        </w:rPr>
      </w:pPr>
      <w:r w:rsidRPr="00575F68">
        <w:rPr>
          <w:rFonts w:ascii="Garamond" w:hAnsi="Garamond"/>
          <w:sz w:val="28"/>
          <w:szCs w:val="28"/>
        </w:rPr>
        <w:t>Concernant le secteur forestier, tout est parti du Décret du 16/7/ 2009 portant organisation et fonctionnement de l’ITIE en son article 2  où, par extension, le  bois est considéré comme  une</w:t>
      </w:r>
      <w:r w:rsidR="00031E63" w:rsidRPr="00575F68">
        <w:rPr>
          <w:rFonts w:ascii="Garamond" w:hAnsi="Garamond"/>
          <w:sz w:val="28"/>
          <w:szCs w:val="28"/>
        </w:rPr>
        <w:t xml:space="preserve"> ressource non  renouvelable  devan</w:t>
      </w:r>
      <w:r w:rsidRPr="00575F68">
        <w:rPr>
          <w:rFonts w:ascii="Garamond" w:hAnsi="Garamond"/>
          <w:sz w:val="28"/>
          <w:szCs w:val="28"/>
        </w:rPr>
        <w:t xml:space="preserve">t donc faire l’objet de déclaration à l’ITIE. C'est ainsi qu'à </w:t>
      </w:r>
      <w:r w:rsidR="00712785" w:rsidRPr="00575F68">
        <w:rPr>
          <w:rFonts w:ascii="Garamond" w:hAnsi="Garamond"/>
          <w:sz w:val="28"/>
          <w:szCs w:val="28"/>
        </w:rPr>
        <w:t>sa réunion du 31/08/2012, sur demande du Ministre de l'Environnement, Conservation de la Nature &amp; Tourisme, le Comité Exécutif de l'ITIE-RDC avait décidé</w:t>
      </w:r>
      <w:r w:rsidR="00E721CF" w:rsidRPr="00575F68">
        <w:rPr>
          <w:rFonts w:ascii="Garamond" w:hAnsi="Garamond"/>
          <w:sz w:val="28"/>
          <w:szCs w:val="28"/>
        </w:rPr>
        <w:t xml:space="preserve"> d'intégrer dans le processus ITIE le secteur bois</w:t>
      </w:r>
      <w:r w:rsidR="00031E63" w:rsidRPr="00575F68">
        <w:rPr>
          <w:rFonts w:ascii="Garamond" w:hAnsi="Garamond"/>
          <w:sz w:val="28"/>
          <w:szCs w:val="28"/>
        </w:rPr>
        <w:t>.</w:t>
      </w:r>
      <w:r w:rsidR="006B5F07" w:rsidRPr="00575F68">
        <w:rPr>
          <w:rFonts w:ascii="Garamond" w:hAnsi="Garamond"/>
          <w:sz w:val="28"/>
          <w:szCs w:val="28"/>
        </w:rPr>
        <w:t xml:space="preserve"> Et même, c'était à la suite de cette décision que les antennes provinciales du Secrétariat Technique ont été ouvertes dans les provinces de Bandundu et de l'Equateur.</w:t>
      </w:r>
    </w:p>
    <w:p w:rsidR="00842C52" w:rsidRPr="00575F68" w:rsidRDefault="00842C52" w:rsidP="00927857">
      <w:pPr>
        <w:pStyle w:val="Paragraphedeliste"/>
        <w:ind w:left="0" w:firstLine="720"/>
        <w:jc w:val="both"/>
        <w:rPr>
          <w:rFonts w:ascii="Garamond" w:hAnsi="Garamond"/>
          <w:sz w:val="28"/>
          <w:szCs w:val="28"/>
        </w:rPr>
      </w:pPr>
    </w:p>
    <w:p w:rsidR="002A6F5A" w:rsidRPr="00575F68" w:rsidRDefault="002A6F5A" w:rsidP="00710E8B">
      <w:pPr>
        <w:pStyle w:val="Paragraphedeliste"/>
        <w:spacing w:after="160" w:line="259" w:lineRule="auto"/>
        <w:ind w:left="0" w:firstLine="720"/>
        <w:jc w:val="both"/>
        <w:rPr>
          <w:rFonts w:ascii="Garamond" w:hAnsi="Garamond"/>
          <w:sz w:val="28"/>
          <w:szCs w:val="28"/>
        </w:rPr>
      </w:pPr>
      <w:r w:rsidRPr="00575F68">
        <w:rPr>
          <w:rFonts w:ascii="Garamond" w:hAnsi="Garamond"/>
          <w:sz w:val="28"/>
          <w:szCs w:val="28"/>
        </w:rPr>
        <w:t>Concernant l'artisanat minier</w:t>
      </w:r>
      <w:r w:rsidR="00842C52" w:rsidRPr="00575F68">
        <w:rPr>
          <w:rFonts w:ascii="Garamond" w:hAnsi="Garamond"/>
          <w:sz w:val="28"/>
          <w:szCs w:val="28"/>
        </w:rPr>
        <w:t>, à plusieurs occasions le gouvernement, à travers le Comité Exécutif, et les Parties Prenantes n'ont cessé d'émettre le souhait que ce secteur soit réintégré dans le processus de déclaration ITIE,  après qu'il l'ait été dans les Rapports 2008 et 2009 qui n’avaient pas rencontré les espoirs</w:t>
      </w:r>
      <w:r w:rsidR="00710E8B" w:rsidRPr="00575F68">
        <w:rPr>
          <w:rFonts w:ascii="Garamond" w:hAnsi="Garamond"/>
          <w:sz w:val="28"/>
          <w:szCs w:val="28"/>
        </w:rPr>
        <w:t xml:space="preserve">. C'est dans ce souci que, lors de sa réunion du 29 avril 2014, le Comité Exécutif avait pris la décision de rouvrir l’antenne  réduite de  l’Est (à Goma) avec comme mission de collecter les données de l’artisanat minier. </w:t>
      </w:r>
    </w:p>
    <w:p w:rsidR="002A6F5A" w:rsidRPr="00575F68" w:rsidRDefault="002A6F5A" w:rsidP="00712785">
      <w:pPr>
        <w:pStyle w:val="Paragraphedeliste"/>
        <w:jc w:val="both"/>
        <w:rPr>
          <w:rFonts w:ascii="Garamond" w:hAnsi="Garamond"/>
          <w:sz w:val="28"/>
          <w:szCs w:val="28"/>
        </w:rPr>
      </w:pPr>
    </w:p>
    <w:p w:rsidR="00F64461" w:rsidRPr="00575F68" w:rsidRDefault="00F64461" w:rsidP="00F64461">
      <w:pPr>
        <w:pStyle w:val="Paragraphedeliste"/>
        <w:numPr>
          <w:ilvl w:val="0"/>
          <w:numId w:val="1"/>
        </w:numPr>
        <w:jc w:val="both"/>
        <w:rPr>
          <w:rFonts w:ascii="Garamond" w:hAnsi="Garamond"/>
          <w:b/>
          <w:sz w:val="28"/>
          <w:szCs w:val="28"/>
        </w:rPr>
      </w:pPr>
      <w:r w:rsidRPr="00575F68">
        <w:rPr>
          <w:rFonts w:ascii="Garamond" w:hAnsi="Garamond"/>
          <w:b/>
          <w:sz w:val="28"/>
          <w:szCs w:val="28"/>
        </w:rPr>
        <w:t>Demande de la CIRGL</w:t>
      </w:r>
    </w:p>
    <w:p w:rsidR="002B58E9" w:rsidRPr="00575F68" w:rsidRDefault="002B58E9" w:rsidP="002B58E9">
      <w:pPr>
        <w:jc w:val="both"/>
        <w:rPr>
          <w:rFonts w:ascii="Garamond" w:hAnsi="Garamond"/>
          <w:sz w:val="28"/>
          <w:szCs w:val="28"/>
        </w:rPr>
      </w:pPr>
      <w:r w:rsidRPr="00575F68">
        <w:rPr>
          <w:rFonts w:ascii="Garamond" w:hAnsi="Garamond"/>
          <w:sz w:val="28"/>
          <w:szCs w:val="28"/>
        </w:rPr>
        <w:t xml:space="preserve">Dans une étude pilote, </w:t>
      </w:r>
      <w:r w:rsidRPr="00575F68">
        <w:rPr>
          <w:rFonts w:ascii="Garamond" w:hAnsi="Garamond"/>
          <w:i/>
          <w:sz w:val="28"/>
          <w:szCs w:val="28"/>
        </w:rPr>
        <w:t>« Promouvoir la transparence des recettes de l’exploitation minière artisanale et à petite échelle (ASM) et les chaînes d’approvisionnement des ressources minières dans la Région des Grands Lacs »,</w:t>
      </w:r>
      <w:r w:rsidRPr="00575F68">
        <w:rPr>
          <w:rFonts w:ascii="Garamond" w:hAnsi="Garamond"/>
          <w:sz w:val="28"/>
          <w:szCs w:val="28"/>
        </w:rPr>
        <w:t xml:space="preserve"> la CIRGL avait constaté que les Rapports ITIE mettaient l'accent jusque là sur les activités minières et pétrolières industrielles</w:t>
      </w:r>
      <w:r w:rsidR="00986C57" w:rsidRPr="00575F68">
        <w:rPr>
          <w:rFonts w:ascii="Garamond" w:hAnsi="Garamond"/>
          <w:sz w:val="28"/>
          <w:szCs w:val="28"/>
        </w:rPr>
        <w:t>, marginalisant l'exploitation minière artisanale et à petite échelle (ASM) et ses chaînes d'approvisionnement respectives. Elle avait également relevé que l'ASM constituait une activité économique importante en ce qui concerne la production et l'exportation des ressources minières dans plusieurs de ses Etats membres.</w:t>
      </w:r>
    </w:p>
    <w:p w:rsidR="00575F68" w:rsidRPr="00575F68" w:rsidRDefault="00575F68" w:rsidP="004354D5">
      <w:pPr>
        <w:jc w:val="both"/>
        <w:rPr>
          <w:rFonts w:ascii="Garamond" w:hAnsi="Garamond"/>
          <w:sz w:val="24"/>
          <w:szCs w:val="28"/>
        </w:rPr>
      </w:pPr>
    </w:p>
    <w:p w:rsidR="00575F68" w:rsidRDefault="00575F68" w:rsidP="004354D5">
      <w:pPr>
        <w:jc w:val="both"/>
        <w:rPr>
          <w:rFonts w:ascii="Garamond" w:hAnsi="Garamond"/>
          <w:sz w:val="28"/>
          <w:szCs w:val="28"/>
        </w:rPr>
      </w:pPr>
    </w:p>
    <w:p w:rsidR="002A6F5A" w:rsidRPr="00575F68" w:rsidRDefault="00986C57" w:rsidP="004354D5">
      <w:pPr>
        <w:jc w:val="both"/>
        <w:rPr>
          <w:rFonts w:ascii="Garamond" w:hAnsi="Garamond"/>
          <w:sz w:val="28"/>
          <w:szCs w:val="28"/>
        </w:rPr>
      </w:pPr>
      <w:r w:rsidRPr="00575F68">
        <w:rPr>
          <w:rFonts w:ascii="Garamond" w:hAnsi="Garamond"/>
          <w:sz w:val="28"/>
          <w:szCs w:val="28"/>
        </w:rPr>
        <w:t>Dans le cadre de cette étude</w:t>
      </w:r>
      <w:r w:rsidR="00091B1F" w:rsidRPr="00575F68">
        <w:rPr>
          <w:rFonts w:ascii="Garamond" w:hAnsi="Garamond"/>
          <w:sz w:val="28"/>
          <w:szCs w:val="28"/>
        </w:rPr>
        <w:t>, au vu des constats faits ci-dessus, la CIRGL avait demandé que l’exploitation minière artisanale et à petite échelle (ASM) et les chaînes d’approvisionnement des ressources minières soient intégrée</w:t>
      </w:r>
      <w:r w:rsidR="00031E63" w:rsidRPr="00575F68">
        <w:rPr>
          <w:rFonts w:ascii="Garamond" w:hAnsi="Garamond"/>
          <w:sz w:val="28"/>
          <w:szCs w:val="28"/>
        </w:rPr>
        <w:t>s</w:t>
      </w:r>
      <w:r w:rsidR="00091B1F" w:rsidRPr="00575F68">
        <w:rPr>
          <w:rFonts w:ascii="Garamond" w:hAnsi="Garamond"/>
          <w:sz w:val="28"/>
          <w:szCs w:val="28"/>
        </w:rPr>
        <w:t xml:space="preserve"> dans le processus ITIE</w:t>
      </w:r>
      <w:r w:rsidR="00457A8D" w:rsidRPr="00575F68">
        <w:rPr>
          <w:rFonts w:ascii="Garamond" w:hAnsi="Garamond"/>
          <w:sz w:val="28"/>
          <w:szCs w:val="28"/>
        </w:rPr>
        <w:t>, soutenant que des recherches précédentes ont montré que certains processus nationaux de l'ITIE ont introduit l'ASM dans leurs rapports ou projettent de le faire dans un futur proche.</w:t>
      </w:r>
    </w:p>
    <w:p w:rsidR="00F64461" w:rsidRPr="00575F68" w:rsidRDefault="00F64461" w:rsidP="00F64461">
      <w:pPr>
        <w:pStyle w:val="Paragraphedeliste"/>
        <w:numPr>
          <w:ilvl w:val="0"/>
          <w:numId w:val="1"/>
        </w:numPr>
        <w:jc w:val="both"/>
        <w:rPr>
          <w:rFonts w:ascii="Garamond" w:hAnsi="Garamond"/>
          <w:b/>
          <w:sz w:val="28"/>
          <w:szCs w:val="28"/>
        </w:rPr>
      </w:pPr>
      <w:r w:rsidRPr="00575F68">
        <w:rPr>
          <w:rFonts w:ascii="Garamond" w:hAnsi="Garamond"/>
          <w:b/>
          <w:sz w:val="28"/>
          <w:szCs w:val="28"/>
        </w:rPr>
        <w:t>Demande de l'UE</w:t>
      </w:r>
    </w:p>
    <w:p w:rsidR="00551C10" w:rsidRPr="00575F68" w:rsidRDefault="00551C10" w:rsidP="004354D5">
      <w:pPr>
        <w:ind w:firstLine="709"/>
        <w:jc w:val="both"/>
        <w:rPr>
          <w:rFonts w:ascii="Garamond" w:hAnsi="Garamond" w:cs="Tahoma"/>
          <w:sz w:val="28"/>
          <w:szCs w:val="28"/>
        </w:rPr>
      </w:pPr>
      <w:r w:rsidRPr="00575F68">
        <w:rPr>
          <w:rFonts w:ascii="Garamond" w:hAnsi="Garamond" w:cs="Tahoma"/>
          <w:sz w:val="28"/>
          <w:szCs w:val="28"/>
        </w:rPr>
        <w:t xml:space="preserve">A la suite des discours prononcés par le  Gouvernement et les partenaires au développement tels que l’UE, la BAD et la MONUSCO à la Conférence minière de Goma, il ressort que les groupes armés naissent le plus souvent de l’appétit minier, se développent presque tous, s’enrichissent et se renforcent grâce aux revenus tirés de l’exploitation illégale des ressources naturelles. </w:t>
      </w:r>
      <w:r w:rsidR="00FA1B51" w:rsidRPr="00575F68">
        <w:rPr>
          <w:rFonts w:ascii="Garamond" w:hAnsi="Garamond" w:cs="Tahoma"/>
          <w:sz w:val="28"/>
          <w:szCs w:val="28"/>
        </w:rPr>
        <w:t xml:space="preserve">A cette occasion, les participants avaient demandé </w:t>
      </w:r>
      <w:r w:rsidR="00FA1B51" w:rsidRPr="00575F68">
        <w:rPr>
          <w:rFonts w:ascii="Garamond" w:hAnsi="Garamond"/>
          <w:sz w:val="28"/>
          <w:szCs w:val="28"/>
        </w:rPr>
        <w:t>d’intégrer le secteur minier artisanal  dans les Rapports ITIE afin d’y instaurer  la transparence et mettre fin à l’exploitation et au commerce  illicites des minerais  à l’Est du pays</w:t>
      </w:r>
    </w:p>
    <w:p w:rsidR="00F64461" w:rsidRPr="00575F68" w:rsidRDefault="00F64461" w:rsidP="00F64461">
      <w:pPr>
        <w:pStyle w:val="Paragraphedeliste"/>
        <w:numPr>
          <w:ilvl w:val="0"/>
          <w:numId w:val="1"/>
        </w:numPr>
        <w:jc w:val="both"/>
        <w:rPr>
          <w:rFonts w:ascii="Garamond" w:hAnsi="Garamond"/>
          <w:b/>
          <w:color w:val="FF0000"/>
          <w:sz w:val="28"/>
          <w:szCs w:val="28"/>
        </w:rPr>
      </w:pPr>
      <w:r w:rsidRPr="00575F68">
        <w:rPr>
          <w:rFonts w:ascii="Garamond" w:hAnsi="Garamond"/>
          <w:b/>
          <w:sz w:val="28"/>
          <w:szCs w:val="28"/>
        </w:rPr>
        <w:t>Demande du Secrétariat International de l'ITIE</w:t>
      </w:r>
    </w:p>
    <w:p w:rsidR="0070788B" w:rsidRPr="00575F68" w:rsidRDefault="0070788B" w:rsidP="00B460D2">
      <w:pPr>
        <w:pStyle w:val="Paragraphedeliste"/>
        <w:spacing w:after="160" w:line="259" w:lineRule="auto"/>
        <w:ind w:left="0" w:firstLine="720"/>
        <w:jc w:val="both"/>
        <w:rPr>
          <w:rFonts w:ascii="Garamond" w:hAnsi="Garamond"/>
          <w:sz w:val="28"/>
          <w:szCs w:val="28"/>
        </w:rPr>
      </w:pPr>
    </w:p>
    <w:p w:rsidR="00A02801" w:rsidRPr="00575F68" w:rsidRDefault="00B460D2" w:rsidP="006B5F07">
      <w:pPr>
        <w:pStyle w:val="Paragraphedeliste"/>
        <w:spacing w:after="160" w:line="259" w:lineRule="auto"/>
        <w:ind w:left="0" w:firstLine="720"/>
        <w:jc w:val="both"/>
        <w:rPr>
          <w:sz w:val="28"/>
          <w:szCs w:val="28"/>
        </w:rPr>
      </w:pPr>
      <w:r w:rsidRPr="00575F68">
        <w:rPr>
          <w:rFonts w:ascii="Garamond" w:hAnsi="Garamond"/>
          <w:sz w:val="28"/>
          <w:szCs w:val="28"/>
        </w:rPr>
        <w:t>Dans une lettre adressée au Coordonnateur National de l'ITIE-RDC en  f</w:t>
      </w:r>
      <w:r w:rsidRPr="00575F68">
        <w:rPr>
          <w:sz w:val="28"/>
          <w:szCs w:val="28"/>
        </w:rPr>
        <w:t>in 2013, et à plusieurs autres occasions, le Secrétariat international de l’ITIE  avait demandé  à la RDC  d’examiner la faisabilité d’intégrer le secteur minier artisanal dans les déclarations ITIE en menant au préalable une étude d’impact de l’exploitation artisanale à l’Est du Pays.</w:t>
      </w:r>
    </w:p>
    <w:p w:rsidR="00A17EA9" w:rsidRPr="00575F68" w:rsidRDefault="00A17EA9" w:rsidP="00A17EA9">
      <w:pPr>
        <w:pStyle w:val="Paragraphedeliste"/>
        <w:spacing w:after="160" w:line="259" w:lineRule="auto"/>
        <w:ind w:left="0"/>
        <w:jc w:val="both"/>
        <w:rPr>
          <w:sz w:val="28"/>
          <w:szCs w:val="28"/>
        </w:rPr>
      </w:pPr>
    </w:p>
    <w:p w:rsidR="00A17EA9" w:rsidRPr="00575F68" w:rsidRDefault="00A17EA9" w:rsidP="00A17EA9">
      <w:pPr>
        <w:pStyle w:val="Paragraphedeliste"/>
        <w:spacing w:after="160" w:line="259" w:lineRule="auto"/>
        <w:ind w:left="0"/>
        <w:jc w:val="both"/>
        <w:rPr>
          <w:sz w:val="28"/>
          <w:szCs w:val="28"/>
        </w:rPr>
      </w:pPr>
      <w:r w:rsidRPr="00575F68">
        <w:rPr>
          <w:sz w:val="28"/>
          <w:szCs w:val="28"/>
        </w:rPr>
        <w:t>A toutes ces demandes, il convient d'ajouter celles des participants aux ateliers de formation des agents et cadres du secteur forestier à Kinshasa, et des agents et cadres du secteur minier artisanal à Goma.</w:t>
      </w:r>
    </w:p>
    <w:p w:rsidR="00D60C6A" w:rsidRPr="00575F68" w:rsidRDefault="00D60C6A" w:rsidP="006D6EEE">
      <w:pPr>
        <w:jc w:val="both"/>
        <w:rPr>
          <w:rFonts w:ascii="Garamond" w:hAnsi="Garamond"/>
          <w:i/>
          <w:sz w:val="28"/>
          <w:szCs w:val="28"/>
        </w:rPr>
      </w:pPr>
      <w:r w:rsidRPr="00575F68">
        <w:rPr>
          <w:rFonts w:ascii="Garamond" w:hAnsi="Garamond"/>
          <w:b/>
          <w:color w:val="984806" w:themeColor="accent6" w:themeShade="80"/>
          <w:sz w:val="28"/>
          <w:szCs w:val="28"/>
        </w:rPr>
        <w:t>b) Hypothèses</w:t>
      </w:r>
    </w:p>
    <w:p w:rsidR="00575F68" w:rsidRDefault="006B496B" w:rsidP="006B496B">
      <w:pPr>
        <w:pStyle w:val="Paragraphedeliste"/>
        <w:ind w:left="0"/>
        <w:jc w:val="both"/>
        <w:rPr>
          <w:rFonts w:ascii="Garamond" w:hAnsi="Garamond"/>
          <w:sz w:val="28"/>
          <w:szCs w:val="28"/>
        </w:rPr>
      </w:pPr>
      <w:r w:rsidRPr="00575F68">
        <w:rPr>
          <w:rFonts w:ascii="Garamond" w:hAnsi="Garamond"/>
          <w:sz w:val="28"/>
          <w:szCs w:val="28"/>
        </w:rPr>
        <w:t>Se fondant sur toutes les demandes formulées, le Comité Exécutif avait inscrit dans sa Feuille de route logique de 2014 pour la production du rapport 2012, deux activités relatives respectivement à la couverture de l'exploitation minière artisanale à l'Est du pays et à la couverture de l'exploitation forestière</w:t>
      </w:r>
      <w:r w:rsidR="00723CC8" w:rsidRPr="00575F68">
        <w:rPr>
          <w:rFonts w:ascii="Garamond" w:hAnsi="Garamond"/>
          <w:sz w:val="28"/>
          <w:szCs w:val="28"/>
        </w:rPr>
        <w:t>.</w:t>
      </w:r>
    </w:p>
    <w:p w:rsidR="00575F68" w:rsidRDefault="00575F68" w:rsidP="006B496B">
      <w:pPr>
        <w:pStyle w:val="Paragraphedeliste"/>
        <w:ind w:left="0"/>
        <w:jc w:val="both"/>
        <w:rPr>
          <w:rFonts w:ascii="Garamond" w:hAnsi="Garamond"/>
          <w:sz w:val="28"/>
          <w:szCs w:val="28"/>
        </w:rPr>
      </w:pPr>
    </w:p>
    <w:p w:rsidR="00575F68" w:rsidRDefault="00575F68" w:rsidP="006B496B">
      <w:pPr>
        <w:pStyle w:val="Paragraphedeliste"/>
        <w:ind w:left="0"/>
        <w:jc w:val="both"/>
        <w:rPr>
          <w:rFonts w:ascii="Garamond" w:hAnsi="Garamond"/>
          <w:sz w:val="28"/>
          <w:szCs w:val="28"/>
        </w:rPr>
      </w:pPr>
    </w:p>
    <w:p w:rsidR="00575F68" w:rsidRDefault="00575F68" w:rsidP="006B496B">
      <w:pPr>
        <w:pStyle w:val="Paragraphedeliste"/>
        <w:ind w:left="0"/>
        <w:jc w:val="both"/>
        <w:rPr>
          <w:rFonts w:ascii="Garamond" w:hAnsi="Garamond"/>
          <w:sz w:val="28"/>
          <w:szCs w:val="28"/>
        </w:rPr>
      </w:pPr>
    </w:p>
    <w:p w:rsidR="00575F68" w:rsidRDefault="00575F68" w:rsidP="006B496B">
      <w:pPr>
        <w:pStyle w:val="Paragraphedeliste"/>
        <w:ind w:left="0"/>
        <w:jc w:val="both"/>
        <w:rPr>
          <w:rFonts w:ascii="Garamond" w:hAnsi="Garamond"/>
          <w:sz w:val="28"/>
          <w:szCs w:val="28"/>
        </w:rPr>
      </w:pPr>
    </w:p>
    <w:p w:rsidR="006B496B" w:rsidRPr="00575F68" w:rsidRDefault="00723CC8" w:rsidP="006B496B">
      <w:pPr>
        <w:pStyle w:val="Paragraphedeliste"/>
        <w:ind w:left="0"/>
        <w:jc w:val="both"/>
        <w:rPr>
          <w:rFonts w:ascii="Garamond" w:hAnsi="Garamond"/>
          <w:sz w:val="28"/>
          <w:szCs w:val="28"/>
        </w:rPr>
      </w:pPr>
      <w:r w:rsidRPr="00575F68">
        <w:rPr>
          <w:rFonts w:ascii="Garamond" w:hAnsi="Garamond"/>
          <w:sz w:val="28"/>
          <w:szCs w:val="28"/>
        </w:rPr>
        <w:t>T</w:t>
      </w:r>
      <w:r w:rsidR="00A21CEA" w:rsidRPr="00575F68">
        <w:rPr>
          <w:rFonts w:ascii="Garamond" w:hAnsi="Garamond"/>
          <w:sz w:val="28"/>
          <w:szCs w:val="28"/>
        </w:rPr>
        <w:t>outefois</w:t>
      </w:r>
      <w:r w:rsidRPr="00575F68">
        <w:rPr>
          <w:rFonts w:ascii="Garamond" w:hAnsi="Garamond"/>
          <w:sz w:val="28"/>
          <w:szCs w:val="28"/>
        </w:rPr>
        <w:t xml:space="preserve">, il se pose le problème de l'intérêt et de l'opportunité </w:t>
      </w:r>
      <w:r w:rsidR="00BF6B97" w:rsidRPr="00575F68">
        <w:rPr>
          <w:rFonts w:ascii="Garamond" w:hAnsi="Garamond"/>
          <w:sz w:val="28"/>
          <w:szCs w:val="28"/>
        </w:rPr>
        <w:t xml:space="preserve">de cette intégration </w:t>
      </w:r>
      <w:r w:rsidRPr="00575F68">
        <w:rPr>
          <w:rFonts w:ascii="Garamond" w:hAnsi="Garamond"/>
          <w:sz w:val="28"/>
          <w:szCs w:val="28"/>
        </w:rPr>
        <w:t>qui suscite</w:t>
      </w:r>
      <w:r w:rsidR="00A21CEA" w:rsidRPr="00575F68">
        <w:rPr>
          <w:rFonts w:ascii="Garamond" w:hAnsi="Garamond"/>
          <w:sz w:val="28"/>
          <w:szCs w:val="28"/>
        </w:rPr>
        <w:t xml:space="preserve"> deux questions fondamentales:</w:t>
      </w:r>
    </w:p>
    <w:p w:rsidR="00A21CEA" w:rsidRPr="00575F68" w:rsidRDefault="00A21CEA" w:rsidP="00723CC8">
      <w:pPr>
        <w:pStyle w:val="Paragraphedeliste"/>
        <w:numPr>
          <w:ilvl w:val="0"/>
          <w:numId w:val="4"/>
        </w:numPr>
        <w:jc w:val="both"/>
        <w:rPr>
          <w:rFonts w:ascii="Garamond" w:hAnsi="Garamond"/>
          <w:sz w:val="28"/>
          <w:szCs w:val="28"/>
        </w:rPr>
      </w:pPr>
      <w:r w:rsidRPr="00575F68">
        <w:rPr>
          <w:rFonts w:ascii="Garamond" w:hAnsi="Garamond"/>
          <w:sz w:val="28"/>
          <w:szCs w:val="28"/>
        </w:rPr>
        <w:t>Y a-t-il vraiment de l'intérêt à intégrer ces deux secteurs dans le processus ITE?</w:t>
      </w:r>
    </w:p>
    <w:p w:rsidR="00723CC8" w:rsidRPr="00575F68" w:rsidRDefault="00723CC8" w:rsidP="00723CC8">
      <w:pPr>
        <w:pStyle w:val="Paragraphedeliste"/>
        <w:numPr>
          <w:ilvl w:val="0"/>
          <w:numId w:val="4"/>
        </w:numPr>
        <w:jc w:val="both"/>
        <w:rPr>
          <w:rFonts w:ascii="Garamond" w:hAnsi="Garamond"/>
          <w:sz w:val="28"/>
          <w:szCs w:val="28"/>
        </w:rPr>
      </w:pPr>
      <w:r w:rsidRPr="00575F68">
        <w:rPr>
          <w:rFonts w:ascii="Garamond" w:hAnsi="Garamond"/>
          <w:sz w:val="28"/>
          <w:szCs w:val="28"/>
        </w:rPr>
        <w:t>Le moment est-il favorable pour cette intégration ou certains préalables s'imposent?</w:t>
      </w:r>
    </w:p>
    <w:p w:rsidR="00530542" w:rsidRPr="00575F68" w:rsidRDefault="00180179" w:rsidP="006D6EEE">
      <w:pPr>
        <w:jc w:val="both"/>
        <w:rPr>
          <w:rFonts w:ascii="Garamond" w:hAnsi="Garamond"/>
          <w:sz w:val="28"/>
          <w:szCs w:val="28"/>
        </w:rPr>
      </w:pPr>
      <w:r w:rsidRPr="00575F68">
        <w:rPr>
          <w:rFonts w:ascii="Garamond" w:hAnsi="Garamond"/>
          <w:sz w:val="28"/>
          <w:szCs w:val="28"/>
        </w:rPr>
        <w:t>Face à la</w:t>
      </w:r>
      <w:r w:rsidR="00530542" w:rsidRPr="00575F68">
        <w:rPr>
          <w:rFonts w:ascii="Garamond" w:hAnsi="Garamond"/>
          <w:sz w:val="28"/>
          <w:szCs w:val="28"/>
        </w:rPr>
        <w:t>problématique</w:t>
      </w:r>
      <w:r w:rsidRPr="00575F68">
        <w:rPr>
          <w:rFonts w:ascii="Garamond" w:hAnsi="Garamond"/>
          <w:sz w:val="28"/>
          <w:szCs w:val="28"/>
        </w:rPr>
        <w:t xml:space="preserve"> posée</w:t>
      </w:r>
      <w:r w:rsidR="00530542" w:rsidRPr="00575F68">
        <w:rPr>
          <w:rFonts w:ascii="Garamond" w:hAnsi="Garamond"/>
          <w:sz w:val="28"/>
          <w:szCs w:val="28"/>
        </w:rPr>
        <w:t xml:space="preserve">, les </w:t>
      </w:r>
      <w:r w:rsidRPr="00575F68">
        <w:rPr>
          <w:rFonts w:ascii="Garamond" w:hAnsi="Garamond"/>
          <w:sz w:val="28"/>
          <w:szCs w:val="28"/>
        </w:rPr>
        <w:t xml:space="preserve">différents </w:t>
      </w:r>
      <w:r w:rsidR="00530542" w:rsidRPr="00575F68">
        <w:rPr>
          <w:rFonts w:ascii="Garamond" w:hAnsi="Garamond"/>
          <w:sz w:val="28"/>
          <w:szCs w:val="28"/>
        </w:rPr>
        <w:t xml:space="preserve">partenaires </w:t>
      </w:r>
      <w:r w:rsidR="00456D97" w:rsidRPr="00575F68">
        <w:rPr>
          <w:rFonts w:ascii="Garamond" w:hAnsi="Garamond"/>
          <w:sz w:val="28"/>
          <w:szCs w:val="28"/>
        </w:rPr>
        <w:t xml:space="preserve">avaient </w:t>
      </w:r>
      <w:r w:rsidR="00530542" w:rsidRPr="00575F68">
        <w:rPr>
          <w:rFonts w:ascii="Garamond" w:hAnsi="Garamond"/>
          <w:sz w:val="28"/>
          <w:szCs w:val="28"/>
        </w:rPr>
        <w:t xml:space="preserve">estimé que l'intégration </w:t>
      </w:r>
      <w:r w:rsidRPr="00575F68">
        <w:rPr>
          <w:rFonts w:ascii="Garamond" w:hAnsi="Garamond"/>
          <w:sz w:val="28"/>
          <w:szCs w:val="28"/>
        </w:rPr>
        <w:t xml:space="preserve">immédiate </w:t>
      </w:r>
      <w:r w:rsidR="00530542" w:rsidRPr="00575F68">
        <w:rPr>
          <w:rFonts w:ascii="Garamond" w:hAnsi="Garamond"/>
          <w:sz w:val="28"/>
          <w:szCs w:val="28"/>
        </w:rPr>
        <w:t xml:space="preserve">de </w:t>
      </w:r>
      <w:r w:rsidR="00D85D68" w:rsidRPr="00575F68">
        <w:rPr>
          <w:rFonts w:ascii="Garamond" w:hAnsi="Garamond"/>
          <w:sz w:val="28"/>
          <w:szCs w:val="28"/>
        </w:rPr>
        <w:t>l'artisanat minier et de la forêt</w:t>
      </w:r>
      <w:r w:rsidR="00530542" w:rsidRPr="00575F68">
        <w:rPr>
          <w:rFonts w:ascii="Garamond" w:hAnsi="Garamond"/>
          <w:sz w:val="28"/>
          <w:szCs w:val="28"/>
        </w:rPr>
        <w:t xml:space="preserve"> dans le processus ITIE</w:t>
      </w:r>
      <w:r w:rsidR="00BC475E" w:rsidRPr="00575F68">
        <w:rPr>
          <w:rFonts w:ascii="Garamond" w:hAnsi="Garamond"/>
          <w:sz w:val="28"/>
          <w:szCs w:val="28"/>
        </w:rPr>
        <w:t xml:space="preserve"> pourrait permettre</w:t>
      </w:r>
      <w:r w:rsidR="006B496B" w:rsidRPr="00575F68">
        <w:rPr>
          <w:rFonts w:ascii="Garamond" w:hAnsi="Garamond"/>
          <w:sz w:val="28"/>
          <w:szCs w:val="28"/>
        </w:rPr>
        <w:t xml:space="preserve"> d'instaurer la transparence dans ces secteurs et</w:t>
      </w:r>
      <w:r w:rsidR="00BC475E" w:rsidRPr="00575F68">
        <w:rPr>
          <w:rFonts w:ascii="Garamond" w:hAnsi="Garamond"/>
          <w:sz w:val="28"/>
          <w:szCs w:val="28"/>
        </w:rPr>
        <w:t xml:space="preserve"> de lever un pan de voile sur leur contribution aux recettes de l'Etat</w:t>
      </w:r>
      <w:r w:rsidR="003F78A6" w:rsidRPr="00575F68">
        <w:rPr>
          <w:rFonts w:ascii="Garamond" w:hAnsi="Garamond"/>
          <w:sz w:val="28"/>
          <w:szCs w:val="28"/>
        </w:rPr>
        <w:t>.</w:t>
      </w:r>
    </w:p>
    <w:p w:rsidR="003F78A6" w:rsidRPr="00575F68" w:rsidRDefault="00D60C6A" w:rsidP="006D6EEE">
      <w:pPr>
        <w:jc w:val="both"/>
        <w:rPr>
          <w:rFonts w:ascii="Garamond" w:hAnsi="Garamond"/>
          <w:i/>
          <w:sz w:val="28"/>
          <w:szCs w:val="28"/>
        </w:rPr>
      </w:pPr>
      <w:r w:rsidRPr="00575F68">
        <w:rPr>
          <w:rFonts w:ascii="Garamond" w:hAnsi="Garamond"/>
          <w:b/>
          <w:color w:val="984806" w:themeColor="accent6" w:themeShade="80"/>
          <w:sz w:val="28"/>
          <w:szCs w:val="28"/>
        </w:rPr>
        <w:t>c) Démarche</w:t>
      </w:r>
    </w:p>
    <w:p w:rsidR="003F78A6" w:rsidRPr="00575F68" w:rsidRDefault="003F78A6" w:rsidP="006D6EEE">
      <w:pPr>
        <w:jc w:val="both"/>
        <w:rPr>
          <w:rFonts w:ascii="Garamond" w:hAnsi="Garamond"/>
          <w:i/>
          <w:sz w:val="28"/>
          <w:szCs w:val="28"/>
        </w:rPr>
      </w:pPr>
      <w:r w:rsidRPr="00575F68">
        <w:rPr>
          <w:rFonts w:ascii="Garamond" w:hAnsi="Garamond"/>
          <w:sz w:val="28"/>
          <w:szCs w:val="28"/>
        </w:rPr>
        <w:t>La démarche approuvée par le Comité Exécutif pour la couverturel'artisanat minier et de la forêt dans le processus ITIE avait consisté</w:t>
      </w:r>
      <w:r w:rsidR="00D14E58" w:rsidRPr="00575F68">
        <w:rPr>
          <w:rFonts w:ascii="Garamond" w:hAnsi="Garamond"/>
          <w:sz w:val="28"/>
          <w:szCs w:val="28"/>
        </w:rPr>
        <w:t xml:space="preserve"> à recruter un Administrateur Indépendant et procéder par des études de cadrage.</w:t>
      </w:r>
    </w:p>
    <w:p w:rsidR="0001617B" w:rsidRPr="00575F68" w:rsidRDefault="00ED56F9" w:rsidP="0001617B">
      <w:pPr>
        <w:pStyle w:val="Paragraphedeliste"/>
        <w:numPr>
          <w:ilvl w:val="0"/>
          <w:numId w:val="3"/>
        </w:numPr>
        <w:jc w:val="both"/>
        <w:rPr>
          <w:rFonts w:ascii="Garamond" w:hAnsi="Garamond"/>
          <w:b/>
          <w:sz w:val="28"/>
          <w:szCs w:val="28"/>
        </w:rPr>
      </w:pPr>
      <w:r w:rsidRPr="00575F68">
        <w:rPr>
          <w:rFonts w:ascii="Garamond" w:hAnsi="Garamond"/>
          <w:b/>
          <w:sz w:val="28"/>
          <w:szCs w:val="28"/>
        </w:rPr>
        <w:t xml:space="preserve">Réalisation des </w:t>
      </w:r>
      <w:r w:rsidR="0001617B" w:rsidRPr="00575F68">
        <w:rPr>
          <w:rFonts w:ascii="Garamond" w:hAnsi="Garamond"/>
          <w:b/>
          <w:sz w:val="28"/>
          <w:szCs w:val="28"/>
        </w:rPr>
        <w:t>Etudes de Cadrage</w:t>
      </w:r>
    </w:p>
    <w:p w:rsidR="00071D60" w:rsidRPr="00575F68" w:rsidRDefault="00B720B2" w:rsidP="00071D60">
      <w:pPr>
        <w:jc w:val="both"/>
        <w:rPr>
          <w:rFonts w:ascii="Garamond" w:hAnsi="Garamond"/>
          <w:sz w:val="28"/>
          <w:szCs w:val="28"/>
        </w:rPr>
      </w:pPr>
      <w:r w:rsidRPr="00575F68">
        <w:rPr>
          <w:rFonts w:ascii="Garamond" w:hAnsi="Garamond"/>
          <w:sz w:val="28"/>
          <w:szCs w:val="28"/>
        </w:rPr>
        <w:t>Comme nous l'avons dit dans l'introduction</w:t>
      </w:r>
      <w:r w:rsidR="00071D60" w:rsidRPr="00575F68">
        <w:rPr>
          <w:rFonts w:ascii="Garamond" w:hAnsi="Garamond"/>
          <w:sz w:val="28"/>
          <w:szCs w:val="28"/>
        </w:rPr>
        <w:t>, deux Cabinets de renom avaient été recrutés à l'issue d'un process</w:t>
      </w:r>
      <w:r w:rsidRPr="00575F68">
        <w:rPr>
          <w:rFonts w:ascii="Garamond" w:hAnsi="Garamond"/>
          <w:sz w:val="28"/>
          <w:szCs w:val="28"/>
        </w:rPr>
        <w:t>us d'appel d'offres pour mener l</w:t>
      </w:r>
      <w:r w:rsidR="00071D60" w:rsidRPr="00575F68">
        <w:rPr>
          <w:rFonts w:ascii="Garamond" w:hAnsi="Garamond"/>
          <w:sz w:val="28"/>
          <w:szCs w:val="28"/>
        </w:rPr>
        <w:t>es études</w:t>
      </w:r>
      <w:r w:rsidR="0099010B" w:rsidRPr="00575F68">
        <w:rPr>
          <w:rFonts w:ascii="Garamond" w:hAnsi="Garamond"/>
          <w:sz w:val="28"/>
          <w:szCs w:val="28"/>
        </w:rPr>
        <w:t xml:space="preserve"> de cadragesur l'artisanat minier et </w:t>
      </w:r>
      <w:r w:rsidR="00071D60" w:rsidRPr="00575F68">
        <w:rPr>
          <w:rFonts w:ascii="Garamond" w:hAnsi="Garamond"/>
          <w:sz w:val="28"/>
          <w:szCs w:val="28"/>
        </w:rPr>
        <w:t xml:space="preserve"> la forêt </w:t>
      </w:r>
      <w:r w:rsidR="0099010B" w:rsidRPr="00575F68">
        <w:rPr>
          <w:rFonts w:ascii="Garamond" w:hAnsi="Garamond"/>
          <w:sz w:val="28"/>
          <w:szCs w:val="28"/>
        </w:rPr>
        <w:t xml:space="preserve">afin de permettre au Comité Exécutif de voir dans quelle mesure il peut intégrer ces deux secteurs </w:t>
      </w:r>
      <w:r w:rsidR="00071D60" w:rsidRPr="00575F68">
        <w:rPr>
          <w:rFonts w:ascii="Garamond" w:hAnsi="Garamond"/>
          <w:sz w:val="28"/>
          <w:szCs w:val="28"/>
        </w:rPr>
        <w:t>dans le</w:t>
      </w:r>
      <w:r w:rsidR="0099010B" w:rsidRPr="00575F68">
        <w:rPr>
          <w:rFonts w:ascii="Garamond" w:hAnsi="Garamond"/>
          <w:sz w:val="28"/>
          <w:szCs w:val="28"/>
        </w:rPr>
        <w:t>srapports</w:t>
      </w:r>
      <w:r w:rsidR="00071D60" w:rsidRPr="00575F68">
        <w:rPr>
          <w:rFonts w:ascii="Garamond" w:hAnsi="Garamond"/>
          <w:sz w:val="28"/>
          <w:szCs w:val="28"/>
        </w:rPr>
        <w:t xml:space="preserve"> ITIE.</w:t>
      </w:r>
    </w:p>
    <w:p w:rsidR="00071D60" w:rsidRPr="00575F68" w:rsidRDefault="006A1BDA" w:rsidP="00071D60">
      <w:pPr>
        <w:jc w:val="both"/>
        <w:rPr>
          <w:rFonts w:ascii="Garamond" w:hAnsi="Garamond"/>
          <w:sz w:val="28"/>
          <w:szCs w:val="28"/>
        </w:rPr>
      </w:pPr>
      <w:r w:rsidRPr="00575F68">
        <w:rPr>
          <w:rFonts w:ascii="Garamond" w:hAnsi="Garamond"/>
          <w:sz w:val="28"/>
          <w:szCs w:val="28"/>
        </w:rPr>
        <w:t>Les</w:t>
      </w:r>
      <w:r w:rsidR="00071D60" w:rsidRPr="00575F68">
        <w:rPr>
          <w:rFonts w:ascii="Garamond" w:hAnsi="Garamond"/>
          <w:sz w:val="28"/>
          <w:szCs w:val="28"/>
        </w:rPr>
        <w:t xml:space="preserve"> de</w:t>
      </w:r>
      <w:r w:rsidRPr="00575F68">
        <w:rPr>
          <w:rFonts w:ascii="Garamond" w:hAnsi="Garamond"/>
          <w:sz w:val="28"/>
          <w:szCs w:val="28"/>
        </w:rPr>
        <w:t>ux</w:t>
      </w:r>
      <w:r w:rsidR="00071D60" w:rsidRPr="00575F68">
        <w:rPr>
          <w:rFonts w:ascii="Garamond" w:hAnsi="Garamond"/>
          <w:sz w:val="28"/>
          <w:szCs w:val="28"/>
        </w:rPr>
        <w:t xml:space="preserve"> Cabinets </w:t>
      </w:r>
      <w:r w:rsidRPr="00575F68">
        <w:rPr>
          <w:rFonts w:ascii="Garamond" w:hAnsi="Garamond"/>
          <w:sz w:val="28"/>
          <w:szCs w:val="28"/>
        </w:rPr>
        <w:t xml:space="preserve">recrutés étaient </w:t>
      </w:r>
      <w:r w:rsidR="00071D60" w:rsidRPr="00575F68">
        <w:rPr>
          <w:rFonts w:ascii="Garamond" w:hAnsi="Garamond" w:cs="Arial"/>
          <w:sz w:val="28"/>
          <w:szCs w:val="28"/>
          <w:lang w:val="fr-CD"/>
        </w:rPr>
        <w:t>PricewaterhouseCoopers</w:t>
      </w:r>
      <w:r w:rsidR="00071D60" w:rsidRPr="00575F68">
        <w:rPr>
          <w:rFonts w:ascii="Garamond" w:hAnsi="Garamond"/>
          <w:sz w:val="28"/>
          <w:szCs w:val="28"/>
        </w:rPr>
        <w:t xml:space="preserve">, pour le secteur minier artisanal, et Moore Stephens, pour le secteur forestier. </w:t>
      </w:r>
      <w:r w:rsidR="00605F37" w:rsidRPr="00575F68">
        <w:rPr>
          <w:rFonts w:ascii="Garamond" w:hAnsi="Garamond"/>
          <w:sz w:val="28"/>
          <w:szCs w:val="28"/>
        </w:rPr>
        <w:t xml:space="preserve">Ces deux Cabinets avaient fait leur travail et avaient produit des </w:t>
      </w:r>
      <w:r w:rsidR="00A7568D" w:rsidRPr="00575F68">
        <w:rPr>
          <w:rFonts w:ascii="Garamond" w:hAnsi="Garamond"/>
          <w:sz w:val="28"/>
          <w:szCs w:val="28"/>
        </w:rPr>
        <w:t xml:space="preserve">projets de </w:t>
      </w:r>
      <w:r w:rsidR="00605F37" w:rsidRPr="00575F68">
        <w:rPr>
          <w:rFonts w:ascii="Garamond" w:hAnsi="Garamond"/>
          <w:sz w:val="28"/>
          <w:szCs w:val="28"/>
        </w:rPr>
        <w:t>rapports de cadrage</w:t>
      </w:r>
      <w:r w:rsidR="00A7568D" w:rsidRPr="00575F68">
        <w:rPr>
          <w:rFonts w:ascii="Garamond" w:hAnsi="Garamond"/>
          <w:sz w:val="28"/>
          <w:szCs w:val="28"/>
        </w:rPr>
        <w:t xml:space="preserve"> qui ont été révisés en ateliers par les parties prenantes le</w:t>
      </w:r>
      <w:r w:rsidR="0017744B" w:rsidRPr="00575F68">
        <w:rPr>
          <w:rFonts w:ascii="Garamond" w:hAnsi="Garamond"/>
          <w:sz w:val="28"/>
          <w:szCs w:val="28"/>
        </w:rPr>
        <w:t xml:space="preserve"> 07/09/2015 pour l'artisanat minier, et le 10/09/2015 pour la forêt.</w:t>
      </w:r>
      <w:r w:rsidR="00182A94" w:rsidRPr="00575F68">
        <w:rPr>
          <w:rFonts w:ascii="Garamond" w:hAnsi="Garamond"/>
          <w:sz w:val="28"/>
          <w:szCs w:val="28"/>
        </w:rPr>
        <w:t xml:space="preserve"> Les projets de rapports ainsi révisés et améliorés, avaient</w:t>
      </w:r>
      <w:r w:rsidR="00071D60" w:rsidRPr="00575F68">
        <w:rPr>
          <w:rFonts w:ascii="Garamond" w:hAnsi="Garamond"/>
          <w:sz w:val="28"/>
          <w:szCs w:val="28"/>
        </w:rPr>
        <w:t xml:space="preserve"> été validés par le </w:t>
      </w:r>
      <w:r w:rsidR="00DB7BAB" w:rsidRPr="00575F68">
        <w:rPr>
          <w:rFonts w:ascii="Garamond" w:hAnsi="Garamond" w:cs="Tahoma"/>
          <w:sz w:val="28"/>
          <w:szCs w:val="28"/>
        </w:rPr>
        <w:t xml:space="preserve">Comité Exécutif </w:t>
      </w:r>
      <w:r w:rsidR="00071D60" w:rsidRPr="00575F68">
        <w:rPr>
          <w:rFonts w:ascii="Garamond" w:hAnsi="Garamond"/>
          <w:sz w:val="28"/>
          <w:szCs w:val="28"/>
        </w:rPr>
        <w:t>à</w:t>
      </w:r>
      <w:r w:rsidR="00182A94" w:rsidRPr="00575F68">
        <w:rPr>
          <w:rFonts w:ascii="Garamond" w:hAnsi="Garamond"/>
          <w:sz w:val="28"/>
          <w:szCs w:val="28"/>
        </w:rPr>
        <w:t xml:space="preserve"> sa réunion du 04 novembre 2015 en convenant qu'il sera d'abord produit des rapports pilotes qui ne pourront être soumis à aucun examen des Instances de l'ITIE Internationale.</w:t>
      </w:r>
      <w:r w:rsidR="003B6E15" w:rsidRPr="00575F68">
        <w:rPr>
          <w:rFonts w:ascii="Garamond" w:hAnsi="Garamond"/>
          <w:sz w:val="28"/>
          <w:szCs w:val="28"/>
        </w:rPr>
        <w:t>Ainsi, avait-il fallu commencer les activités de formation et de sensibilisation des acteurs de deux secteurs.</w:t>
      </w:r>
    </w:p>
    <w:p w:rsidR="0001617B" w:rsidRPr="00575F68" w:rsidRDefault="0001617B" w:rsidP="0001617B">
      <w:pPr>
        <w:pStyle w:val="Paragraphedeliste"/>
        <w:numPr>
          <w:ilvl w:val="0"/>
          <w:numId w:val="3"/>
        </w:numPr>
        <w:jc w:val="both"/>
        <w:rPr>
          <w:rFonts w:ascii="Garamond" w:hAnsi="Garamond"/>
          <w:b/>
          <w:sz w:val="28"/>
          <w:szCs w:val="28"/>
        </w:rPr>
      </w:pPr>
      <w:r w:rsidRPr="00575F68">
        <w:rPr>
          <w:rFonts w:ascii="Garamond" w:hAnsi="Garamond"/>
          <w:b/>
          <w:sz w:val="28"/>
          <w:szCs w:val="28"/>
        </w:rPr>
        <w:t>Formations et missions de sensibilisation à la collecte des données</w:t>
      </w:r>
    </w:p>
    <w:p w:rsidR="0001617B" w:rsidRPr="00575F68" w:rsidRDefault="0001617B" w:rsidP="0001617B">
      <w:pPr>
        <w:pStyle w:val="Paragraphedeliste"/>
        <w:jc w:val="both"/>
        <w:rPr>
          <w:rFonts w:ascii="Garamond" w:hAnsi="Garamond"/>
          <w:b/>
          <w:sz w:val="28"/>
          <w:szCs w:val="28"/>
        </w:rPr>
      </w:pPr>
    </w:p>
    <w:p w:rsidR="00575F68" w:rsidRDefault="0001617B" w:rsidP="0001617B">
      <w:pPr>
        <w:pStyle w:val="Paragraphedeliste"/>
        <w:ind w:left="0"/>
        <w:jc w:val="both"/>
        <w:rPr>
          <w:rFonts w:ascii="Garamond" w:hAnsi="Garamond"/>
          <w:sz w:val="28"/>
          <w:szCs w:val="28"/>
        </w:rPr>
      </w:pPr>
      <w:r w:rsidRPr="00575F68">
        <w:rPr>
          <w:rFonts w:ascii="Garamond" w:hAnsi="Garamond"/>
          <w:sz w:val="28"/>
          <w:szCs w:val="28"/>
        </w:rPr>
        <w:t>Dans le cadre du processus d'élaboration des rapports pilotes-artisanat minier &amp; forêt,</w:t>
      </w:r>
      <w:r w:rsidR="009E712F" w:rsidRPr="00575F68">
        <w:rPr>
          <w:rFonts w:ascii="Garamond" w:hAnsi="Garamond"/>
          <w:sz w:val="28"/>
          <w:szCs w:val="28"/>
        </w:rPr>
        <w:t xml:space="preserve"> comme cela a été décidé par le Comité Exéc</w:t>
      </w:r>
      <w:r w:rsidR="00D85D68" w:rsidRPr="00575F68">
        <w:rPr>
          <w:rFonts w:ascii="Garamond" w:hAnsi="Garamond"/>
          <w:sz w:val="28"/>
          <w:szCs w:val="28"/>
        </w:rPr>
        <w:t>u</w:t>
      </w:r>
      <w:r w:rsidR="009E712F" w:rsidRPr="00575F68">
        <w:rPr>
          <w:rFonts w:ascii="Garamond" w:hAnsi="Garamond"/>
          <w:sz w:val="28"/>
          <w:szCs w:val="28"/>
        </w:rPr>
        <w:t>tif,</w:t>
      </w:r>
      <w:r w:rsidRPr="00575F68">
        <w:rPr>
          <w:rFonts w:ascii="Garamond" w:hAnsi="Garamond"/>
          <w:sz w:val="28"/>
          <w:szCs w:val="28"/>
        </w:rPr>
        <w:t xml:space="preserve"> trois ateliers de formation </w:t>
      </w:r>
    </w:p>
    <w:p w:rsidR="00575F68" w:rsidRDefault="00575F68" w:rsidP="0001617B">
      <w:pPr>
        <w:pStyle w:val="Paragraphedeliste"/>
        <w:ind w:left="0"/>
        <w:jc w:val="both"/>
        <w:rPr>
          <w:rFonts w:ascii="Garamond" w:hAnsi="Garamond"/>
          <w:sz w:val="28"/>
          <w:szCs w:val="28"/>
        </w:rPr>
      </w:pPr>
    </w:p>
    <w:p w:rsidR="0001617B" w:rsidRPr="00575F68" w:rsidRDefault="0001617B" w:rsidP="0001617B">
      <w:pPr>
        <w:pStyle w:val="Paragraphedeliste"/>
        <w:ind w:left="0"/>
        <w:jc w:val="both"/>
        <w:rPr>
          <w:rFonts w:ascii="Garamond" w:hAnsi="Garamond"/>
          <w:sz w:val="28"/>
          <w:szCs w:val="28"/>
        </w:rPr>
      </w:pPr>
      <w:r w:rsidRPr="00575F68">
        <w:rPr>
          <w:rFonts w:ascii="Garamond" w:hAnsi="Garamond"/>
          <w:sz w:val="28"/>
          <w:szCs w:val="28"/>
        </w:rPr>
        <w:t>ont été organisés à l'attention des agents, cadres et acteurs du secteur minier artisanal et du secteur forestier. Il s'agit de:</w:t>
      </w:r>
    </w:p>
    <w:p w:rsidR="0001617B" w:rsidRPr="00575F68" w:rsidRDefault="0001617B" w:rsidP="0001617B">
      <w:pPr>
        <w:pStyle w:val="Paragraphedeliste"/>
        <w:ind w:left="0"/>
        <w:jc w:val="both"/>
        <w:rPr>
          <w:rFonts w:ascii="Garamond" w:hAnsi="Garamond"/>
          <w:b/>
          <w:sz w:val="28"/>
          <w:szCs w:val="28"/>
        </w:rPr>
      </w:pPr>
    </w:p>
    <w:p w:rsidR="0001617B" w:rsidRPr="00575F68" w:rsidRDefault="0001617B" w:rsidP="0001617B">
      <w:pPr>
        <w:pStyle w:val="Paragraphedeliste"/>
        <w:spacing w:after="0"/>
        <w:ind w:left="0"/>
        <w:jc w:val="both"/>
        <w:rPr>
          <w:rFonts w:ascii="Garamond" w:hAnsi="Garamond"/>
          <w:sz w:val="28"/>
          <w:szCs w:val="28"/>
        </w:rPr>
      </w:pPr>
      <w:r w:rsidRPr="00575F68">
        <w:rPr>
          <w:rFonts w:ascii="Garamond" w:hAnsi="Garamond"/>
          <w:sz w:val="28"/>
          <w:szCs w:val="28"/>
        </w:rPr>
        <w:t>-l'atelier de Kinshasa, qui avait regroupé les acteurs du secteur forestier de Kinshasa, Bandundu et Equateur;</w:t>
      </w:r>
    </w:p>
    <w:p w:rsidR="0001617B" w:rsidRPr="00575F68" w:rsidRDefault="0001617B" w:rsidP="0001617B">
      <w:pPr>
        <w:pStyle w:val="Paragraphedeliste"/>
        <w:spacing w:after="0"/>
        <w:ind w:left="0"/>
        <w:jc w:val="both"/>
        <w:rPr>
          <w:rFonts w:ascii="Garamond" w:hAnsi="Garamond"/>
          <w:sz w:val="28"/>
          <w:szCs w:val="28"/>
        </w:rPr>
      </w:pPr>
      <w:r w:rsidRPr="00575F68">
        <w:rPr>
          <w:rFonts w:ascii="Garamond" w:hAnsi="Garamond"/>
          <w:sz w:val="28"/>
          <w:szCs w:val="28"/>
        </w:rPr>
        <w:t>-l'atelier de Goma, qui avait regroupé les acteurs du secteur minier artisanal du Nord-Kivu, Sud-Kivu, Maniema et de la Province Orientale démembrée;</w:t>
      </w:r>
    </w:p>
    <w:p w:rsidR="0001617B" w:rsidRPr="00575F68" w:rsidRDefault="0001617B" w:rsidP="0001617B">
      <w:pPr>
        <w:pStyle w:val="Paragraphedeliste"/>
        <w:spacing w:after="0"/>
        <w:ind w:left="0"/>
        <w:jc w:val="both"/>
        <w:rPr>
          <w:rFonts w:ascii="Garamond" w:hAnsi="Garamond"/>
          <w:sz w:val="28"/>
          <w:szCs w:val="28"/>
        </w:rPr>
      </w:pPr>
      <w:r w:rsidRPr="00575F68">
        <w:rPr>
          <w:rFonts w:ascii="Garamond" w:hAnsi="Garamond"/>
          <w:sz w:val="28"/>
          <w:szCs w:val="28"/>
        </w:rPr>
        <w:t>-l'atelier de Lubumbashi.</w:t>
      </w:r>
    </w:p>
    <w:p w:rsidR="0001617B" w:rsidRPr="00575F68" w:rsidRDefault="0001617B" w:rsidP="0001617B">
      <w:pPr>
        <w:pStyle w:val="Paragraphedeliste"/>
        <w:spacing w:after="0"/>
        <w:ind w:left="0"/>
        <w:jc w:val="both"/>
        <w:rPr>
          <w:rFonts w:ascii="Garamond" w:hAnsi="Garamond"/>
          <w:sz w:val="28"/>
          <w:szCs w:val="28"/>
        </w:rPr>
      </w:pPr>
    </w:p>
    <w:p w:rsidR="004354D5" w:rsidRPr="00575F68" w:rsidRDefault="0001617B" w:rsidP="0001617B">
      <w:pPr>
        <w:pStyle w:val="Paragraphedeliste"/>
        <w:spacing w:after="0"/>
        <w:ind w:left="0"/>
        <w:jc w:val="both"/>
        <w:rPr>
          <w:rFonts w:ascii="Garamond" w:hAnsi="Garamond"/>
          <w:sz w:val="28"/>
          <w:szCs w:val="28"/>
        </w:rPr>
      </w:pPr>
      <w:r w:rsidRPr="00575F68">
        <w:rPr>
          <w:rFonts w:ascii="Garamond" w:hAnsi="Garamond"/>
          <w:sz w:val="28"/>
          <w:szCs w:val="28"/>
        </w:rPr>
        <w:t>Après ces différents ateliers, les Experts du Secrétariat Technique ont été déployés dans les provinces démembrées de Bandundu, Equateur, Province Orientale et du Katanga en missions de sensibilisation à la collecte des données pour les Rapports pilotes ITIE-RDC 2014-Artisanat minier et Forestier (A&amp;F).</w:t>
      </w:r>
    </w:p>
    <w:p w:rsidR="00071D60" w:rsidRPr="00575F68" w:rsidRDefault="00071D60" w:rsidP="00071D60">
      <w:pPr>
        <w:jc w:val="both"/>
        <w:rPr>
          <w:rFonts w:ascii="Garamond" w:hAnsi="Garamond"/>
          <w:sz w:val="28"/>
          <w:szCs w:val="28"/>
        </w:rPr>
      </w:pPr>
    </w:p>
    <w:p w:rsidR="007B4696" w:rsidRPr="00575F68" w:rsidRDefault="007B4696" w:rsidP="006D6EEE">
      <w:pPr>
        <w:jc w:val="both"/>
        <w:rPr>
          <w:rFonts w:ascii="Garamond" w:hAnsi="Garamond"/>
          <w:b/>
          <w:color w:val="0070C0"/>
          <w:sz w:val="28"/>
          <w:szCs w:val="28"/>
        </w:rPr>
      </w:pPr>
      <w:r w:rsidRPr="00575F68">
        <w:rPr>
          <w:rFonts w:ascii="Garamond" w:hAnsi="Garamond"/>
          <w:b/>
          <w:color w:val="0070C0"/>
          <w:sz w:val="28"/>
          <w:szCs w:val="28"/>
        </w:rPr>
        <w:t>III. Traitement de la documentation et de l'information</w:t>
      </w:r>
    </w:p>
    <w:p w:rsidR="00D60C6A" w:rsidRPr="00575F68" w:rsidRDefault="00D60C6A" w:rsidP="006D6EEE">
      <w:pPr>
        <w:jc w:val="both"/>
        <w:rPr>
          <w:rFonts w:ascii="Garamond" w:hAnsi="Garamond"/>
          <w:b/>
          <w:color w:val="984806" w:themeColor="accent6" w:themeShade="80"/>
          <w:sz w:val="28"/>
          <w:szCs w:val="28"/>
        </w:rPr>
      </w:pPr>
      <w:r w:rsidRPr="00575F68">
        <w:rPr>
          <w:rFonts w:ascii="Garamond" w:hAnsi="Garamond"/>
          <w:b/>
          <w:color w:val="984806" w:themeColor="accent6" w:themeShade="80"/>
          <w:sz w:val="28"/>
          <w:szCs w:val="28"/>
        </w:rPr>
        <w:t>a) Interprétation des données chiffrées du cadrage et du contexte</w:t>
      </w:r>
    </w:p>
    <w:p w:rsidR="00A61329" w:rsidRDefault="00C64B75" w:rsidP="00A61329">
      <w:pPr>
        <w:spacing w:after="0" w:line="240" w:lineRule="auto"/>
        <w:jc w:val="both"/>
        <w:rPr>
          <w:rFonts w:ascii="Garamond" w:hAnsi="Garamond"/>
          <w:sz w:val="28"/>
          <w:szCs w:val="28"/>
        </w:rPr>
      </w:pPr>
      <w:r w:rsidRPr="00575F68">
        <w:rPr>
          <w:rFonts w:ascii="Garamond" w:hAnsi="Garamond"/>
          <w:sz w:val="28"/>
          <w:szCs w:val="28"/>
        </w:rPr>
        <w:t xml:space="preserve">Les résultats de deux études de cadrage menées respectivement par les Cabinets </w:t>
      </w:r>
      <w:r w:rsidRPr="00575F68">
        <w:rPr>
          <w:rFonts w:ascii="Garamond" w:hAnsi="Garamond" w:cs="Arial"/>
          <w:sz w:val="28"/>
          <w:szCs w:val="28"/>
          <w:lang w:val="fr-CD"/>
        </w:rPr>
        <w:t>PricewaterhouseCoopers</w:t>
      </w:r>
      <w:r w:rsidRPr="00575F68">
        <w:rPr>
          <w:rFonts w:ascii="Garamond" w:hAnsi="Garamond"/>
          <w:sz w:val="28"/>
          <w:szCs w:val="28"/>
        </w:rPr>
        <w:t>, pour le secteur minier artisanal, et Moore Stephens, pour le secteur forestier ont révélé que les revenus de l'Etat réalisés en 2014 étaient de</w:t>
      </w:r>
    </w:p>
    <w:p w:rsidR="00C64B75" w:rsidRPr="00575F68" w:rsidRDefault="00FD1A63" w:rsidP="00A61329">
      <w:pPr>
        <w:spacing w:after="0" w:line="240" w:lineRule="auto"/>
        <w:jc w:val="both"/>
        <w:rPr>
          <w:rFonts w:ascii="Garamond" w:hAnsi="Garamond"/>
          <w:sz w:val="28"/>
          <w:szCs w:val="28"/>
        </w:rPr>
      </w:pPr>
      <w:r w:rsidRPr="00575F68">
        <w:rPr>
          <w:rFonts w:ascii="Garamond" w:hAnsi="Garamond"/>
          <w:b/>
          <w:bCs/>
          <w:sz w:val="28"/>
          <w:szCs w:val="28"/>
        </w:rPr>
        <w:t>9 878 569 USD</w:t>
      </w:r>
      <w:r w:rsidR="00C64B75" w:rsidRPr="00575F68">
        <w:rPr>
          <w:rFonts w:ascii="Garamond" w:hAnsi="Garamond"/>
          <w:sz w:val="28"/>
          <w:szCs w:val="28"/>
        </w:rPr>
        <w:t xml:space="preserve"> pour l'artisanat minier, et de</w:t>
      </w:r>
      <w:r w:rsidRPr="00575F68">
        <w:rPr>
          <w:rFonts w:ascii="Garamond" w:hAnsi="Garamond"/>
          <w:b/>
          <w:sz w:val="28"/>
          <w:szCs w:val="28"/>
        </w:rPr>
        <w:t>8 356 422 USD</w:t>
      </w:r>
      <w:r w:rsidR="00C64B75" w:rsidRPr="00575F68">
        <w:rPr>
          <w:rFonts w:ascii="Garamond" w:hAnsi="Garamond"/>
          <w:sz w:val="28"/>
          <w:szCs w:val="28"/>
        </w:rPr>
        <w:t xml:space="preserve"> pour la forêt.   </w:t>
      </w:r>
    </w:p>
    <w:p w:rsidR="00A61329" w:rsidRDefault="00A61329" w:rsidP="006D6EEE">
      <w:pPr>
        <w:jc w:val="both"/>
        <w:rPr>
          <w:rFonts w:ascii="Garamond" w:hAnsi="Garamond"/>
          <w:sz w:val="28"/>
          <w:szCs w:val="28"/>
        </w:rPr>
      </w:pPr>
    </w:p>
    <w:p w:rsidR="00B430CE" w:rsidRPr="00575F68" w:rsidRDefault="00B430CE" w:rsidP="006D6EEE">
      <w:pPr>
        <w:jc w:val="both"/>
        <w:rPr>
          <w:rFonts w:ascii="Garamond" w:hAnsi="Garamond"/>
          <w:sz w:val="28"/>
          <w:szCs w:val="28"/>
        </w:rPr>
      </w:pPr>
      <w:r w:rsidRPr="00575F68">
        <w:rPr>
          <w:rFonts w:ascii="Garamond" w:hAnsi="Garamond"/>
          <w:sz w:val="28"/>
          <w:szCs w:val="28"/>
        </w:rPr>
        <w:t>Au regard de ces chiffres, il y a lieu de constater que la contribution précise de l'artisanat minier et de la forêt aux recettes fiscales de l'Etat reste très faible, à raison notamment,</w:t>
      </w:r>
    </w:p>
    <w:p w:rsidR="00C246C2" w:rsidRPr="00575F68" w:rsidRDefault="00B430CE" w:rsidP="00155973">
      <w:pPr>
        <w:spacing w:after="0"/>
        <w:jc w:val="both"/>
        <w:rPr>
          <w:rFonts w:ascii="Garamond" w:hAnsi="Garamond"/>
          <w:sz w:val="28"/>
          <w:szCs w:val="28"/>
        </w:rPr>
      </w:pPr>
      <w:r w:rsidRPr="00575F68">
        <w:rPr>
          <w:rFonts w:ascii="Garamond" w:hAnsi="Garamond"/>
          <w:sz w:val="28"/>
          <w:szCs w:val="28"/>
        </w:rPr>
        <w:t xml:space="preserve">-du caractère informel généralisé </w:t>
      </w:r>
      <w:r w:rsidR="008C6D75" w:rsidRPr="00575F68">
        <w:rPr>
          <w:rFonts w:ascii="Garamond" w:hAnsi="Garamond"/>
          <w:sz w:val="28"/>
          <w:szCs w:val="28"/>
        </w:rPr>
        <w:t>qui est en contradiction avec la mission de l'ITIE dont le principe fondamental repose sur le rapprochement des flux de paiements et de revenus officiels</w:t>
      </w:r>
      <w:r w:rsidR="00CE01C0" w:rsidRPr="00575F68">
        <w:rPr>
          <w:rFonts w:ascii="Garamond" w:hAnsi="Garamond"/>
          <w:sz w:val="28"/>
          <w:szCs w:val="28"/>
        </w:rPr>
        <w:t>;</w:t>
      </w:r>
    </w:p>
    <w:p w:rsidR="00CE01C0" w:rsidRPr="00575F68" w:rsidRDefault="00CE01C0" w:rsidP="00155973">
      <w:pPr>
        <w:spacing w:after="0"/>
        <w:jc w:val="both"/>
        <w:rPr>
          <w:rFonts w:ascii="Garamond" w:hAnsi="Garamond"/>
          <w:sz w:val="28"/>
          <w:szCs w:val="28"/>
        </w:rPr>
      </w:pPr>
      <w:r w:rsidRPr="00575F68">
        <w:rPr>
          <w:rFonts w:ascii="Garamond" w:hAnsi="Garamond"/>
          <w:sz w:val="28"/>
          <w:szCs w:val="28"/>
        </w:rPr>
        <w:t>-de l'absence des Services de l'Etat dans certaines zones d'exploitation</w:t>
      </w:r>
      <w:r w:rsidR="0026666A" w:rsidRPr="00575F68">
        <w:rPr>
          <w:rFonts w:ascii="Garamond" w:hAnsi="Garamond"/>
          <w:sz w:val="28"/>
          <w:szCs w:val="28"/>
        </w:rPr>
        <w:t>;</w:t>
      </w:r>
    </w:p>
    <w:p w:rsidR="0026666A" w:rsidRPr="00575F68" w:rsidRDefault="0026666A" w:rsidP="00155973">
      <w:pPr>
        <w:spacing w:after="0"/>
        <w:jc w:val="both"/>
        <w:rPr>
          <w:rFonts w:ascii="Garamond" w:hAnsi="Garamond"/>
          <w:sz w:val="28"/>
          <w:szCs w:val="28"/>
        </w:rPr>
      </w:pPr>
      <w:r w:rsidRPr="00575F68">
        <w:rPr>
          <w:rFonts w:ascii="Garamond" w:hAnsi="Garamond"/>
          <w:sz w:val="28"/>
          <w:szCs w:val="28"/>
        </w:rPr>
        <w:t>-des ponctions opérées par certains agents véreux sur les recettes de l'Etat</w:t>
      </w:r>
      <w:r w:rsidR="00155973" w:rsidRPr="00575F68">
        <w:rPr>
          <w:rFonts w:ascii="Garamond" w:hAnsi="Garamond"/>
          <w:sz w:val="28"/>
          <w:szCs w:val="28"/>
        </w:rPr>
        <w:t>;</w:t>
      </w:r>
    </w:p>
    <w:p w:rsidR="00155973" w:rsidRPr="00575F68" w:rsidRDefault="00155973" w:rsidP="00155973">
      <w:pPr>
        <w:spacing w:after="0"/>
        <w:jc w:val="both"/>
        <w:rPr>
          <w:rFonts w:ascii="Garamond" w:hAnsi="Garamond"/>
          <w:sz w:val="28"/>
          <w:szCs w:val="28"/>
        </w:rPr>
      </w:pPr>
      <w:r w:rsidRPr="00575F68">
        <w:rPr>
          <w:rFonts w:ascii="Garamond" w:hAnsi="Garamond"/>
          <w:sz w:val="28"/>
          <w:szCs w:val="28"/>
        </w:rPr>
        <w:t>-de l’immixtion  des autorités  politico-administratives et militaires dans l'exploitation minière</w:t>
      </w:r>
      <w:r w:rsidR="00D761EF" w:rsidRPr="00575F68">
        <w:rPr>
          <w:rFonts w:ascii="Garamond" w:hAnsi="Garamond"/>
          <w:sz w:val="28"/>
          <w:szCs w:val="28"/>
        </w:rPr>
        <w:t xml:space="preserve"> artisanale</w:t>
      </w:r>
      <w:r w:rsidRPr="00575F68">
        <w:rPr>
          <w:rFonts w:ascii="Garamond" w:hAnsi="Garamond"/>
          <w:sz w:val="28"/>
          <w:szCs w:val="28"/>
        </w:rPr>
        <w:t xml:space="preserve"> et forestière;</w:t>
      </w:r>
    </w:p>
    <w:p w:rsidR="004354D5" w:rsidRPr="00575F68" w:rsidRDefault="004354D5" w:rsidP="00155973">
      <w:pPr>
        <w:spacing w:after="0"/>
        <w:jc w:val="both"/>
        <w:rPr>
          <w:rFonts w:ascii="Garamond" w:hAnsi="Garamond"/>
          <w:sz w:val="28"/>
          <w:szCs w:val="28"/>
        </w:rPr>
      </w:pPr>
      <w:r w:rsidRPr="00575F68">
        <w:rPr>
          <w:rFonts w:ascii="Garamond" w:hAnsi="Garamond"/>
          <w:sz w:val="28"/>
          <w:szCs w:val="28"/>
        </w:rPr>
        <w:t>-de la détention par ces mêmes</w:t>
      </w:r>
      <w:r w:rsidR="00224B0B" w:rsidRPr="00575F68">
        <w:rPr>
          <w:rFonts w:ascii="Garamond" w:hAnsi="Garamond"/>
          <w:sz w:val="28"/>
          <w:szCs w:val="28"/>
        </w:rPr>
        <w:t xml:space="preserve"> autorités des unités de production minières artisanales et forestières qui ne paient rien au fisc;</w:t>
      </w:r>
    </w:p>
    <w:p w:rsidR="00155973" w:rsidRPr="00575F68" w:rsidRDefault="00155973" w:rsidP="00155973">
      <w:pPr>
        <w:spacing w:after="0"/>
        <w:jc w:val="both"/>
        <w:rPr>
          <w:rFonts w:ascii="Garamond" w:hAnsi="Garamond"/>
          <w:sz w:val="28"/>
          <w:szCs w:val="28"/>
        </w:rPr>
      </w:pPr>
      <w:r w:rsidRPr="00575F68">
        <w:rPr>
          <w:rFonts w:ascii="Garamond" w:hAnsi="Garamond"/>
          <w:sz w:val="28"/>
          <w:szCs w:val="28"/>
        </w:rPr>
        <w:t>-etc.</w:t>
      </w:r>
    </w:p>
    <w:p w:rsidR="00575F68" w:rsidRDefault="00575F68" w:rsidP="00155973">
      <w:pPr>
        <w:spacing w:after="0"/>
        <w:jc w:val="both"/>
        <w:rPr>
          <w:rFonts w:ascii="Garamond" w:hAnsi="Garamond"/>
          <w:b/>
          <w:color w:val="984806" w:themeColor="accent6" w:themeShade="80"/>
          <w:sz w:val="28"/>
          <w:szCs w:val="28"/>
        </w:rPr>
      </w:pPr>
    </w:p>
    <w:p w:rsidR="00575F68" w:rsidRDefault="00575F68" w:rsidP="00155973">
      <w:pPr>
        <w:spacing w:after="0"/>
        <w:jc w:val="both"/>
        <w:rPr>
          <w:rFonts w:ascii="Garamond" w:hAnsi="Garamond"/>
          <w:b/>
          <w:color w:val="984806" w:themeColor="accent6" w:themeShade="80"/>
          <w:sz w:val="28"/>
          <w:szCs w:val="28"/>
        </w:rPr>
      </w:pPr>
    </w:p>
    <w:p w:rsidR="00A61329" w:rsidRDefault="00A61329" w:rsidP="00155973">
      <w:pPr>
        <w:spacing w:after="0"/>
        <w:jc w:val="both"/>
        <w:rPr>
          <w:rFonts w:ascii="Garamond" w:hAnsi="Garamond"/>
          <w:b/>
          <w:color w:val="984806" w:themeColor="accent6" w:themeShade="80"/>
          <w:sz w:val="28"/>
          <w:szCs w:val="28"/>
        </w:rPr>
      </w:pPr>
    </w:p>
    <w:p w:rsidR="00A61329" w:rsidRDefault="00A61329" w:rsidP="00155973">
      <w:pPr>
        <w:spacing w:after="0"/>
        <w:jc w:val="both"/>
        <w:rPr>
          <w:rFonts w:ascii="Garamond" w:hAnsi="Garamond"/>
          <w:b/>
          <w:color w:val="984806" w:themeColor="accent6" w:themeShade="80"/>
          <w:sz w:val="28"/>
          <w:szCs w:val="28"/>
        </w:rPr>
      </w:pPr>
    </w:p>
    <w:p w:rsidR="00A61329" w:rsidRDefault="00A61329" w:rsidP="00155973">
      <w:pPr>
        <w:spacing w:after="0"/>
        <w:jc w:val="both"/>
        <w:rPr>
          <w:rFonts w:ascii="Garamond" w:hAnsi="Garamond"/>
          <w:b/>
          <w:color w:val="984806" w:themeColor="accent6" w:themeShade="80"/>
          <w:sz w:val="28"/>
          <w:szCs w:val="28"/>
        </w:rPr>
      </w:pPr>
    </w:p>
    <w:p w:rsidR="00D60C6A" w:rsidRPr="00575F68" w:rsidRDefault="00D60C6A" w:rsidP="00155973">
      <w:pPr>
        <w:spacing w:after="0"/>
        <w:jc w:val="both"/>
        <w:rPr>
          <w:rFonts w:ascii="Garamond" w:hAnsi="Garamond"/>
          <w:b/>
          <w:color w:val="984806" w:themeColor="accent6" w:themeShade="80"/>
          <w:sz w:val="28"/>
          <w:szCs w:val="28"/>
        </w:rPr>
      </w:pPr>
      <w:r w:rsidRPr="00575F68">
        <w:rPr>
          <w:rFonts w:ascii="Garamond" w:hAnsi="Garamond"/>
          <w:b/>
          <w:color w:val="984806" w:themeColor="accent6" w:themeShade="80"/>
          <w:sz w:val="28"/>
          <w:szCs w:val="28"/>
        </w:rPr>
        <w:t>b) Eléments des rapports de missions du Secrétariat Technique sur terrain</w:t>
      </w:r>
    </w:p>
    <w:p w:rsidR="00A333E0" w:rsidRPr="00575F68" w:rsidRDefault="00A333E0" w:rsidP="00155973">
      <w:pPr>
        <w:spacing w:after="0"/>
        <w:jc w:val="both"/>
        <w:rPr>
          <w:rFonts w:ascii="Garamond" w:hAnsi="Garamond"/>
          <w:b/>
          <w:color w:val="984806" w:themeColor="accent6" w:themeShade="80"/>
          <w:sz w:val="28"/>
          <w:szCs w:val="28"/>
        </w:rPr>
      </w:pPr>
    </w:p>
    <w:p w:rsidR="003C4C83" w:rsidRPr="00575F68" w:rsidRDefault="003C4C83" w:rsidP="003C4C83">
      <w:pPr>
        <w:pStyle w:val="Paragraphedeliste"/>
        <w:numPr>
          <w:ilvl w:val="0"/>
          <w:numId w:val="6"/>
        </w:numPr>
        <w:jc w:val="both"/>
        <w:rPr>
          <w:rFonts w:ascii="Garamond" w:hAnsi="Garamond"/>
          <w:b/>
          <w:color w:val="984806" w:themeColor="accent6" w:themeShade="80"/>
          <w:sz w:val="28"/>
          <w:szCs w:val="28"/>
        </w:rPr>
      </w:pPr>
      <w:r w:rsidRPr="00575F68">
        <w:rPr>
          <w:rFonts w:ascii="Garamond" w:hAnsi="Garamond"/>
          <w:b/>
          <w:color w:val="984806" w:themeColor="accent6" w:themeShade="80"/>
          <w:sz w:val="28"/>
          <w:szCs w:val="28"/>
        </w:rPr>
        <w:t>Secteur minier artisanal</w:t>
      </w:r>
    </w:p>
    <w:p w:rsidR="00A333E0" w:rsidRPr="00575F68" w:rsidRDefault="00A333E0" w:rsidP="00A333E0">
      <w:pPr>
        <w:pStyle w:val="Paragraphedeliste"/>
        <w:ind w:left="0"/>
        <w:jc w:val="both"/>
        <w:rPr>
          <w:rFonts w:ascii="Garamond" w:hAnsi="Garamond"/>
          <w:color w:val="000000" w:themeColor="text1"/>
          <w:sz w:val="28"/>
          <w:szCs w:val="28"/>
        </w:rPr>
      </w:pPr>
      <w:r w:rsidRPr="00575F68">
        <w:rPr>
          <w:rFonts w:ascii="Garamond" w:hAnsi="Garamond"/>
          <w:color w:val="000000" w:themeColor="text1"/>
          <w:sz w:val="28"/>
          <w:szCs w:val="28"/>
        </w:rPr>
        <w:t xml:space="preserve">Les missions de collecte ont couvert la Province du Nord Kivu et partiellement celles du Sud Kivu et la  Province Orientale démembrée. Elles n’ont pas couvert les provinces du Katanga  et  les </w:t>
      </w:r>
      <w:r w:rsidRPr="00575F68">
        <w:rPr>
          <w:rFonts w:ascii="Garamond" w:hAnsi="Garamond"/>
          <w:color w:val="000000" w:themeColor="text1"/>
          <w:sz w:val="28"/>
          <w:szCs w:val="28"/>
          <w:highlight w:val="yellow"/>
        </w:rPr>
        <w:t>deux  Kasaï</w:t>
      </w:r>
      <w:r w:rsidRPr="00575F68">
        <w:rPr>
          <w:rFonts w:ascii="Garamond" w:hAnsi="Garamond"/>
          <w:color w:val="000000" w:themeColor="text1"/>
          <w:sz w:val="28"/>
          <w:szCs w:val="28"/>
        </w:rPr>
        <w:t xml:space="preserve"> démembrées ainsi que celle du Maniema  concernées également par l’exploitation artisanale pour des raisons évoquées ci-dessus </w:t>
      </w:r>
    </w:p>
    <w:p w:rsidR="00A333E0" w:rsidRPr="00575F68" w:rsidRDefault="00A333E0" w:rsidP="00A333E0">
      <w:pPr>
        <w:pStyle w:val="Paragraphedeliste"/>
        <w:ind w:left="0"/>
        <w:jc w:val="both"/>
        <w:rPr>
          <w:rFonts w:ascii="Garamond" w:hAnsi="Garamond"/>
          <w:color w:val="000000" w:themeColor="text1"/>
          <w:sz w:val="28"/>
          <w:szCs w:val="28"/>
        </w:rPr>
      </w:pPr>
      <w:r w:rsidRPr="00575F68">
        <w:rPr>
          <w:rFonts w:ascii="Garamond" w:hAnsi="Garamond"/>
          <w:color w:val="000000" w:themeColor="text1"/>
          <w:sz w:val="28"/>
          <w:szCs w:val="28"/>
        </w:rPr>
        <w:t xml:space="preserve">De l’analyse et du  traitement des données reçues des entités perceptrices étatiques dans ces trois provinces, il ressort que les Recettes  perçues en 2014  s’élèvent à 5.634.809.5$ USD  réparties comme suit :    </w:t>
      </w:r>
    </w:p>
    <w:tbl>
      <w:tblPr>
        <w:tblpPr w:leftFromText="141" w:rightFromText="141" w:vertAnchor="text" w:tblpY="1"/>
        <w:tblOverlap w:val="never"/>
        <w:tblW w:w="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7"/>
        <w:gridCol w:w="2977"/>
      </w:tblGrid>
      <w:tr w:rsidR="00A333E0" w:rsidRPr="00575F68" w:rsidTr="00A61329">
        <w:trPr>
          <w:trHeight w:val="290"/>
        </w:trPr>
        <w:tc>
          <w:tcPr>
            <w:tcW w:w="2547" w:type="dxa"/>
            <w:shd w:val="clear" w:color="000000" w:fill="9BC2E6"/>
            <w:noWrap/>
            <w:vAlign w:val="bottom"/>
            <w:hideMark/>
          </w:tcPr>
          <w:p w:rsidR="00A333E0" w:rsidRPr="00575F68" w:rsidRDefault="00A333E0" w:rsidP="00DC1E7A">
            <w:pPr>
              <w:spacing w:after="0" w:line="240" w:lineRule="auto"/>
              <w:rPr>
                <w:rFonts w:ascii="Calibri" w:eastAsia="Times New Roman" w:hAnsi="Calibri" w:cs="Times New Roman"/>
                <w:color w:val="000000"/>
                <w:sz w:val="28"/>
                <w:szCs w:val="28"/>
              </w:rPr>
            </w:pPr>
            <w:r w:rsidRPr="00575F68">
              <w:rPr>
                <w:rFonts w:ascii="Calibri" w:eastAsia="Times New Roman" w:hAnsi="Calibri" w:cs="Times New Roman"/>
                <w:color w:val="000000"/>
                <w:sz w:val="28"/>
                <w:szCs w:val="28"/>
              </w:rPr>
              <w:t>ENTITE</w:t>
            </w:r>
          </w:p>
        </w:tc>
        <w:tc>
          <w:tcPr>
            <w:tcW w:w="2977" w:type="dxa"/>
            <w:shd w:val="clear" w:color="000000" w:fill="9BC2E6"/>
            <w:noWrap/>
            <w:vAlign w:val="bottom"/>
            <w:hideMark/>
          </w:tcPr>
          <w:p w:rsidR="00A333E0" w:rsidRPr="00575F68" w:rsidRDefault="00A333E0" w:rsidP="00A61329">
            <w:pPr>
              <w:spacing w:after="0" w:line="240" w:lineRule="auto"/>
              <w:ind w:left="213"/>
              <w:jc w:val="right"/>
              <w:rPr>
                <w:rFonts w:ascii="Calibri" w:eastAsia="Times New Roman" w:hAnsi="Calibri" w:cs="Times New Roman"/>
                <w:color w:val="000000"/>
                <w:sz w:val="28"/>
                <w:szCs w:val="28"/>
              </w:rPr>
            </w:pPr>
            <w:r w:rsidRPr="00575F68">
              <w:rPr>
                <w:rFonts w:ascii="Calibri" w:eastAsia="Times New Roman" w:hAnsi="Calibri" w:cs="Times New Roman"/>
                <w:color w:val="000000"/>
                <w:sz w:val="28"/>
                <w:szCs w:val="28"/>
              </w:rPr>
              <w:t>MONTANT en $USD</w:t>
            </w:r>
          </w:p>
        </w:tc>
      </w:tr>
      <w:tr w:rsidR="00A333E0" w:rsidRPr="00575F68" w:rsidTr="00A61329">
        <w:trPr>
          <w:trHeight w:val="290"/>
        </w:trPr>
        <w:tc>
          <w:tcPr>
            <w:tcW w:w="2547" w:type="dxa"/>
            <w:shd w:val="clear" w:color="auto" w:fill="auto"/>
            <w:noWrap/>
            <w:vAlign w:val="bottom"/>
            <w:hideMark/>
          </w:tcPr>
          <w:p w:rsidR="00A333E0" w:rsidRPr="00575F68" w:rsidRDefault="00A333E0" w:rsidP="00DC1E7A">
            <w:pPr>
              <w:spacing w:after="0" w:line="240" w:lineRule="auto"/>
              <w:rPr>
                <w:rFonts w:ascii="Calibri" w:eastAsia="Times New Roman" w:hAnsi="Calibri" w:cs="Times New Roman"/>
                <w:color w:val="000000"/>
                <w:sz w:val="28"/>
                <w:szCs w:val="28"/>
              </w:rPr>
            </w:pPr>
            <w:r w:rsidRPr="00575F68">
              <w:rPr>
                <w:rFonts w:ascii="Calibri" w:eastAsia="Times New Roman" w:hAnsi="Calibri" w:cs="Times New Roman"/>
                <w:color w:val="000000"/>
                <w:sz w:val="28"/>
                <w:szCs w:val="28"/>
              </w:rPr>
              <w:t>DGI</w:t>
            </w:r>
          </w:p>
        </w:tc>
        <w:tc>
          <w:tcPr>
            <w:tcW w:w="2977" w:type="dxa"/>
            <w:shd w:val="clear" w:color="auto" w:fill="auto"/>
            <w:noWrap/>
            <w:vAlign w:val="bottom"/>
            <w:hideMark/>
          </w:tcPr>
          <w:p w:rsidR="00A333E0" w:rsidRPr="00575F68" w:rsidRDefault="00A333E0" w:rsidP="00DC1E7A">
            <w:pPr>
              <w:spacing w:after="0" w:line="240" w:lineRule="auto"/>
              <w:jc w:val="right"/>
              <w:rPr>
                <w:rFonts w:ascii="Calibri" w:eastAsia="Times New Roman" w:hAnsi="Calibri" w:cs="Times New Roman"/>
                <w:color w:val="000000"/>
                <w:sz w:val="28"/>
                <w:szCs w:val="28"/>
              </w:rPr>
            </w:pPr>
            <w:r w:rsidRPr="00575F68">
              <w:rPr>
                <w:rFonts w:ascii="Calibri" w:eastAsia="Times New Roman" w:hAnsi="Calibri" w:cs="Times New Roman"/>
                <w:color w:val="000000"/>
                <w:sz w:val="28"/>
                <w:szCs w:val="28"/>
              </w:rPr>
              <w:t>1.067.274,82</w:t>
            </w:r>
          </w:p>
        </w:tc>
      </w:tr>
      <w:tr w:rsidR="00A333E0" w:rsidRPr="00575F68" w:rsidTr="00A61329">
        <w:trPr>
          <w:trHeight w:val="290"/>
        </w:trPr>
        <w:tc>
          <w:tcPr>
            <w:tcW w:w="2547" w:type="dxa"/>
            <w:shd w:val="clear" w:color="auto" w:fill="auto"/>
            <w:noWrap/>
            <w:vAlign w:val="bottom"/>
            <w:hideMark/>
          </w:tcPr>
          <w:p w:rsidR="00A333E0" w:rsidRPr="00575F68" w:rsidRDefault="00A333E0" w:rsidP="00DC1E7A">
            <w:pPr>
              <w:spacing w:after="0" w:line="240" w:lineRule="auto"/>
              <w:rPr>
                <w:rFonts w:ascii="Calibri" w:eastAsia="Times New Roman" w:hAnsi="Calibri" w:cs="Times New Roman"/>
                <w:color w:val="000000"/>
                <w:sz w:val="28"/>
                <w:szCs w:val="28"/>
              </w:rPr>
            </w:pPr>
            <w:r w:rsidRPr="00575F68">
              <w:rPr>
                <w:rFonts w:ascii="Calibri" w:eastAsia="Times New Roman" w:hAnsi="Calibri" w:cs="Times New Roman"/>
                <w:color w:val="000000"/>
                <w:sz w:val="28"/>
                <w:szCs w:val="28"/>
              </w:rPr>
              <w:t>DGDA</w:t>
            </w:r>
          </w:p>
        </w:tc>
        <w:tc>
          <w:tcPr>
            <w:tcW w:w="2977" w:type="dxa"/>
            <w:shd w:val="clear" w:color="auto" w:fill="auto"/>
            <w:noWrap/>
            <w:vAlign w:val="bottom"/>
            <w:hideMark/>
          </w:tcPr>
          <w:p w:rsidR="00A333E0" w:rsidRPr="00575F68" w:rsidRDefault="00A333E0" w:rsidP="00DC1E7A">
            <w:pPr>
              <w:spacing w:after="0" w:line="240" w:lineRule="auto"/>
              <w:jc w:val="right"/>
              <w:rPr>
                <w:rFonts w:ascii="Calibri" w:eastAsia="Times New Roman" w:hAnsi="Calibri" w:cs="Times New Roman"/>
                <w:color w:val="000000"/>
                <w:sz w:val="28"/>
                <w:szCs w:val="28"/>
              </w:rPr>
            </w:pPr>
            <w:r w:rsidRPr="00575F68">
              <w:rPr>
                <w:rFonts w:ascii="Calibri" w:eastAsia="Times New Roman" w:hAnsi="Calibri" w:cs="Times New Roman"/>
                <w:color w:val="000000"/>
                <w:sz w:val="28"/>
                <w:szCs w:val="28"/>
              </w:rPr>
              <w:t>383.410,12</w:t>
            </w:r>
          </w:p>
        </w:tc>
      </w:tr>
      <w:tr w:rsidR="00A333E0" w:rsidRPr="00575F68" w:rsidTr="00A61329">
        <w:trPr>
          <w:trHeight w:val="290"/>
        </w:trPr>
        <w:tc>
          <w:tcPr>
            <w:tcW w:w="2547" w:type="dxa"/>
            <w:shd w:val="clear" w:color="auto" w:fill="auto"/>
            <w:noWrap/>
            <w:vAlign w:val="bottom"/>
            <w:hideMark/>
          </w:tcPr>
          <w:p w:rsidR="00A333E0" w:rsidRPr="00575F68" w:rsidRDefault="00A333E0" w:rsidP="00DC1E7A">
            <w:pPr>
              <w:spacing w:after="0" w:line="240" w:lineRule="auto"/>
              <w:rPr>
                <w:rFonts w:ascii="Calibri" w:eastAsia="Times New Roman" w:hAnsi="Calibri" w:cs="Times New Roman"/>
                <w:color w:val="000000"/>
                <w:sz w:val="28"/>
                <w:szCs w:val="28"/>
              </w:rPr>
            </w:pPr>
            <w:r w:rsidRPr="00575F68">
              <w:rPr>
                <w:rFonts w:ascii="Calibri" w:eastAsia="Times New Roman" w:hAnsi="Calibri" w:cs="Times New Roman"/>
                <w:color w:val="000000"/>
                <w:sz w:val="28"/>
                <w:szCs w:val="28"/>
              </w:rPr>
              <w:t>DGRAD</w:t>
            </w:r>
          </w:p>
        </w:tc>
        <w:tc>
          <w:tcPr>
            <w:tcW w:w="2977" w:type="dxa"/>
            <w:shd w:val="clear" w:color="auto" w:fill="auto"/>
            <w:noWrap/>
            <w:vAlign w:val="bottom"/>
            <w:hideMark/>
          </w:tcPr>
          <w:p w:rsidR="00A333E0" w:rsidRPr="00575F68" w:rsidRDefault="00A333E0" w:rsidP="00DC1E7A">
            <w:pPr>
              <w:spacing w:after="0" w:line="240" w:lineRule="auto"/>
              <w:jc w:val="right"/>
              <w:rPr>
                <w:rFonts w:ascii="Calibri" w:eastAsia="Times New Roman" w:hAnsi="Calibri" w:cs="Times New Roman"/>
                <w:color w:val="000000"/>
                <w:sz w:val="28"/>
                <w:szCs w:val="28"/>
              </w:rPr>
            </w:pPr>
            <w:r w:rsidRPr="00575F68">
              <w:rPr>
                <w:rFonts w:ascii="Calibri" w:eastAsia="Times New Roman" w:hAnsi="Calibri" w:cs="Times New Roman"/>
                <w:color w:val="000000"/>
                <w:sz w:val="28"/>
                <w:szCs w:val="28"/>
              </w:rPr>
              <w:t>886.740,70</w:t>
            </w:r>
          </w:p>
        </w:tc>
      </w:tr>
      <w:tr w:rsidR="00A333E0" w:rsidRPr="00575F68" w:rsidTr="00A61329">
        <w:trPr>
          <w:trHeight w:val="290"/>
        </w:trPr>
        <w:tc>
          <w:tcPr>
            <w:tcW w:w="2547" w:type="dxa"/>
            <w:shd w:val="clear" w:color="auto" w:fill="auto"/>
            <w:noWrap/>
            <w:vAlign w:val="bottom"/>
            <w:hideMark/>
          </w:tcPr>
          <w:p w:rsidR="00A333E0" w:rsidRPr="00575F68" w:rsidRDefault="00A333E0" w:rsidP="00DC1E7A">
            <w:pPr>
              <w:spacing w:after="0" w:line="240" w:lineRule="auto"/>
              <w:rPr>
                <w:rFonts w:ascii="Calibri" w:eastAsia="Times New Roman" w:hAnsi="Calibri" w:cs="Times New Roman"/>
                <w:color w:val="000000"/>
                <w:sz w:val="28"/>
                <w:szCs w:val="28"/>
              </w:rPr>
            </w:pPr>
            <w:r w:rsidRPr="00575F68">
              <w:rPr>
                <w:rFonts w:ascii="Calibri" w:eastAsia="Times New Roman" w:hAnsi="Calibri" w:cs="Times New Roman"/>
                <w:color w:val="000000"/>
                <w:sz w:val="28"/>
                <w:szCs w:val="28"/>
              </w:rPr>
              <w:t>DIR PROV RECET.</w:t>
            </w:r>
          </w:p>
        </w:tc>
        <w:tc>
          <w:tcPr>
            <w:tcW w:w="2977" w:type="dxa"/>
            <w:shd w:val="clear" w:color="auto" w:fill="auto"/>
            <w:noWrap/>
            <w:vAlign w:val="bottom"/>
            <w:hideMark/>
          </w:tcPr>
          <w:p w:rsidR="00A333E0" w:rsidRPr="00575F68" w:rsidRDefault="00A333E0" w:rsidP="00DC1E7A">
            <w:pPr>
              <w:spacing w:after="0" w:line="240" w:lineRule="auto"/>
              <w:jc w:val="right"/>
              <w:rPr>
                <w:rFonts w:ascii="Calibri" w:eastAsia="Times New Roman" w:hAnsi="Calibri" w:cs="Times New Roman"/>
                <w:color w:val="000000"/>
                <w:sz w:val="28"/>
                <w:szCs w:val="28"/>
              </w:rPr>
            </w:pPr>
            <w:r w:rsidRPr="00575F68">
              <w:rPr>
                <w:rFonts w:ascii="Calibri" w:eastAsia="Times New Roman" w:hAnsi="Calibri" w:cs="Times New Roman"/>
                <w:color w:val="000000"/>
                <w:sz w:val="28"/>
                <w:szCs w:val="28"/>
              </w:rPr>
              <w:t>916.109,24</w:t>
            </w:r>
          </w:p>
        </w:tc>
      </w:tr>
      <w:tr w:rsidR="00A333E0" w:rsidRPr="00575F68" w:rsidTr="00A61329">
        <w:trPr>
          <w:trHeight w:val="290"/>
        </w:trPr>
        <w:tc>
          <w:tcPr>
            <w:tcW w:w="2547" w:type="dxa"/>
            <w:shd w:val="clear" w:color="auto" w:fill="auto"/>
            <w:noWrap/>
            <w:vAlign w:val="bottom"/>
            <w:hideMark/>
          </w:tcPr>
          <w:p w:rsidR="00A333E0" w:rsidRPr="00575F68" w:rsidRDefault="00A333E0" w:rsidP="00DC1E7A">
            <w:pPr>
              <w:spacing w:after="0" w:line="240" w:lineRule="auto"/>
              <w:rPr>
                <w:rFonts w:ascii="Calibri" w:eastAsia="Times New Roman" w:hAnsi="Calibri" w:cs="Times New Roman"/>
                <w:color w:val="000000"/>
                <w:sz w:val="28"/>
                <w:szCs w:val="28"/>
              </w:rPr>
            </w:pPr>
            <w:r w:rsidRPr="00575F68">
              <w:rPr>
                <w:rFonts w:ascii="Calibri" w:eastAsia="Times New Roman" w:hAnsi="Calibri" w:cs="Times New Roman"/>
                <w:color w:val="000000"/>
                <w:sz w:val="28"/>
                <w:szCs w:val="28"/>
              </w:rPr>
              <w:t xml:space="preserve">CEEC </w:t>
            </w:r>
          </w:p>
        </w:tc>
        <w:tc>
          <w:tcPr>
            <w:tcW w:w="2977" w:type="dxa"/>
            <w:shd w:val="clear" w:color="auto" w:fill="auto"/>
            <w:noWrap/>
            <w:vAlign w:val="bottom"/>
            <w:hideMark/>
          </w:tcPr>
          <w:p w:rsidR="00A333E0" w:rsidRPr="00575F68" w:rsidRDefault="00A333E0" w:rsidP="00DC1E7A">
            <w:pPr>
              <w:spacing w:after="0" w:line="240" w:lineRule="auto"/>
              <w:jc w:val="right"/>
              <w:rPr>
                <w:rFonts w:ascii="Calibri" w:eastAsia="Times New Roman" w:hAnsi="Calibri" w:cs="Times New Roman"/>
                <w:color w:val="000000"/>
                <w:sz w:val="28"/>
                <w:szCs w:val="28"/>
              </w:rPr>
            </w:pPr>
            <w:r w:rsidRPr="00575F68">
              <w:rPr>
                <w:rFonts w:ascii="Calibri" w:eastAsia="Times New Roman" w:hAnsi="Calibri" w:cs="Times New Roman"/>
                <w:color w:val="000000"/>
                <w:sz w:val="28"/>
                <w:szCs w:val="28"/>
              </w:rPr>
              <w:t>410.309,81</w:t>
            </w:r>
          </w:p>
        </w:tc>
      </w:tr>
      <w:tr w:rsidR="00A333E0" w:rsidRPr="00575F68" w:rsidTr="00A61329">
        <w:trPr>
          <w:trHeight w:val="290"/>
        </w:trPr>
        <w:tc>
          <w:tcPr>
            <w:tcW w:w="2547" w:type="dxa"/>
            <w:shd w:val="clear" w:color="auto" w:fill="auto"/>
            <w:noWrap/>
            <w:vAlign w:val="bottom"/>
            <w:hideMark/>
          </w:tcPr>
          <w:p w:rsidR="00A333E0" w:rsidRPr="00575F68" w:rsidRDefault="00A333E0" w:rsidP="00DC1E7A">
            <w:pPr>
              <w:spacing w:after="0" w:line="240" w:lineRule="auto"/>
              <w:rPr>
                <w:rFonts w:ascii="Calibri" w:eastAsia="Times New Roman" w:hAnsi="Calibri" w:cs="Times New Roman"/>
                <w:color w:val="000000"/>
                <w:sz w:val="28"/>
                <w:szCs w:val="28"/>
              </w:rPr>
            </w:pPr>
            <w:r w:rsidRPr="00575F68">
              <w:rPr>
                <w:rFonts w:ascii="Calibri" w:eastAsia="Times New Roman" w:hAnsi="Calibri" w:cs="Times New Roman"/>
                <w:color w:val="000000"/>
                <w:sz w:val="28"/>
                <w:szCs w:val="28"/>
              </w:rPr>
              <w:t>SAESCAM</w:t>
            </w:r>
          </w:p>
        </w:tc>
        <w:tc>
          <w:tcPr>
            <w:tcW w:w="2977" w:type="dxa"/>
            <w:shd w:val="clear" w:color="auto" w:fill="auto"/>
            <w:noWrap/>
            <w:vAlign w:val="bottom"/>
            <w:hideMark/>
          </w:tcPr>
          <w:p w:rsidR="00A333E0" w:rsidRPr="00575F68" w:rsidRDefault="00A333E0" w:rsidP="00DC1E7A">
            <w:pPr>
              <w:spacing w:after="0" w:line="240" w:lineRule="auto"/>
              <w:jc w:val="right"/>
              <w:rPr>
                <w:rFonts w:ascii="Calibri" w:eastAsia="Times New Roman" w:hAnsi="Calibri" w:cs="Times New Roman"/>
                <w:color w:val="000000"/>
                <w:sz w:val="28"/>
                <w:szCs w:val="28"/>
              </w:rPr>
            </w:pPr>
            <w:r w:rsidRPr="00575F68">
              <w:rPr>
                <w:rFonts w:ascii="Calibri" w:eastAsia="Times New Roman" w:hAnsi="Calibri" w:cs="Times New Roman"/>
                <w:color w:val="000000"/>
                <w:sz w:val="28"/>
                <w:szCs w:val="28"/>
              </w:rPr>
              <w:t>1.223.825,36</w:t>
            </w:r>
          </w:p>
        </w:tc>
      </w:tr>
      <w:tr w:rsidR="00A333E0" w:rsidRPr="00575F68" w:rsidTr="00A61329">
        <w:trPr>
          <w:trHeight w:val="290"/>
        </w:trPr>
        <w:tc>
          <w:tcPr>
            <w:tcW w:w="2547" w:type="dxa"/>
            <w:shd w:val="clear" w:color="auto" w:fill="auto"/>
            <w:noWrap/>
            <w:vAlign w:val="bottom"/>
            <w:hideMark/>
          </w:tcPr>
          <w:p w:rsidR="00A333E0" w:rsidRPr="00575F68" w:rsidRDefault="00A333E0" w:rsidP="00DC1E7A">
            <w:pPr>
              <w:spacing w:after="0" w:line="240" w:lineRule="auto"/>
              <w:rPr>
                <w:rFonts w:ascii="Calibri" w:eastAsia="Times New Roman" w:hAnsi="Calibri" w:cs="Times New Roman"/>
                <w:color w:val="000000"/>
                <w:sz w:val="28"/>
                <w:szCs w:val="28"/>
              </w:rPr>
            </w:pPr>
            <w:r w:rsidRPr="00575F68">
              <w:rPr>
                <w:rFonts w:ascii="Calibri" w:eastAsia="Times New Roman" w:hAnsi="Calibri" w:cs="Times New Roman"/>
                <w:color w:val="000000"/>
                <w:sz w:val="28"/>
                <w:szCs w:val="28"/>
              </w:rPr>
              <w:t>ITRI</w:t>
            </w:r>
          </w:p>
        </w:tc>
        <w:tc>
          <w:tcPr>
            <w:tcW w:w="2977" w:type="dxa"/>
            <w:shd w:val="clear" w:color="auto" w:fill="auto"/>
            <w:noWrap/>
            <w:vAlign w:val="bottom"/>
            <w:hideMark/>
          </w:tcPr>
          <w:p w:rsidR="00A333E0" w:rsidRPr="00575F68" w:rsidRDefault="00A333E0" w:rsidP="00DC1E7A">
            <w:pPr>
              <w:spacing w:after="0" w:line="240" w:lineRule="auto"/>
              <w:jc w:val="right"/>
              <w:rPr>
                <w:rFonts w:ascii="Calibri" w:eastAsia="Times New Roman" w:hAnsi="Calibri" w:cs="Times New Roman"/>
                <w:color w:val="000000"/>
                <w:sz w:val="28"/>
                <w:szCs w:val="28"/>
              </w:rPr>
            </w:pPr>
            <w:r w:rsidRPr="00575F68">
              <w:rPr>
                <w:rFonts w:ascii="Calibri" w:eastAsia="Times New Roman" w:hAnsi="Calibri" w:cs="Times New Roman"/>
                <w:color w:val="000000"/>
                <w:sz w:val="28"/>
                <w:szCs w:val="28"/>
              </w:rPr>
              <w:t>1.500,00</w:t>
            </w:r>
          </w:p>
        </w:tc>
      </w:tr>
      <w:tr w:rsidR="00A333E0" w:rsidRPr="00575F68" w:rsidTr="00A61329">
        <w:trPr>
          <w:trHeight w:val="290"/>
        </w:trPr>
        <w:tc>
          <w:tcPr>
            <w:tcW w:w="2547" w:type="dxa"/>
            <w:shd w:val="clear" w:color="auto" w:fill="auto"/>
            <w:noWrap/>
            <w:vAlign w:val="bottom"/>
            <w:hideMark/>
          </w:tcPr>
          <w:p w:rsidR="00A333E0" w:rsidRPr="00575F68" w:rsidRDefault="00A333E0" w:rsidP="00DC1E7A">
            <w:pPr>
              <w:spacing w:after="0" w:line="240" w:lineRule="auto"/>
              <w:rPr>
                <w:rFonts w:ascii="Calibri" w:eastAsia="Times New Roman" w:hAnsi="Calibri" w:cs="Times New Roman"/>
                <w:color w:val="000000"/>
                <w:sz w:val="28"/>
                <w:szCs w:val="28"/>
              </w:rPr>
            </w:pPr>
            <w:r w:rsidRPr="00575F68">
              <w:rPr>
                <w:rFonts w:ascii="Calibri" w:eastAsia="Times New Roman" w:hAnsi="Calibri" w:cs="Times New Roman"/>
                <w:color w:val="000000"/>
                <w:sz w:val="28"/>
                <w:szCs w:val="28"/>
              </w:rPr>
              <w:t>AUTRES ENTITES</w:t>
            </w:r>
          </w:p>
        </w:tc>
        <w:tc>
          <w:tcPr>
            <w:tcW w:w="2977" w:type="dxa"/>
            <w:shd w:val="clear" w:color="auto" w:fill="auto"/>
            <w:noWrap/>
            <w:vAlign w:val="bottom"/>
            <w:hideMark/>
          </w:tcPr>
          <w:p w:rsidR="00A333E0" w:rsidRPr="00575F68" w:rsidRDefault="00A333E0" w:rsidP="00DC1E7A">
            <w:pPr>
              <w:spacing w:after="0" w:line="240" w:lineRule="auto"/>
              <w:jc w:val="right"/>
              <w:rPr>
                <w:rFonts w:ascii="Calibri" w:eastAsia="Times New Roman" w:hAnsi="Calibri" w:cs="Times New Roman"/>
                <w:color w:val="000000"/>
                <w:sz w:val="28"/>
                <w:szCs w:val="28"/>
              </w:rPr>
            </w:pPr>
            <w:r w:rsidRPr="00575F68">
              <w:rPr>
                <w:rFonts w:ascii="Calibri" w:eastAsia="Times New Roman" w:hAnsi="Calibri" w:cs="Times New Roman"/>
                <w:color w:val="000000"/>
                <w:sz w:val="28"/>
                <w:szCs w:val="28"/>
              </w:rPr>
              <w:t>745.639,10</w:t>
            </w:r>
          </w:p>
        </w:tc>
      </w:tr>
      <w:tr w:rsidR="00A333E0" w:rsidRPr="00575F68" w:rsidTr="00A61329">
        <w:trPr>
          <w:trHeight w:val="290"/>
        </w:trPr>
        <w:tc>
          <w:tcPr>
            <w:tcW w:w="2547" w:type="dxa"/>
            <w:shd w:val="clear" w:color="auto" w:fill="auto"/>
            <w:noWrap/>
            <w:vAlign w:val="bottom"/>
            <w:hideMark/>
          </w:tcPr>
          <w:p w:rsidR="00A333E0" w:rsidRPr="00575F68" w:rsidRDefault="00A333E0" w:rsidP="00DC1E7A">
            <w:pPr>
              <w:spacing w:after="0" w:line="240" w:lineRule="auto"/>
              <w:rPr>
                <w:rFonts w:ascii="Calibri" w:eastAsia="Times New Roman" w:hAnsi="Calibri" w:cs="Times New Roman"/>
                <w:color w:val="000000"/>
                <w:sz w:val="28"/>
                <w:szCs w:val="28"/>
              </w:rPr>
            </w:pPr>
            <w:r w:rsidRPr="00575F68">
              <w:rPr>
                <w:rFonts w:ascii="Calibri" w:eastAsia="Times New Roman" w:hAnsi="Calibri" w:cs="Times New Roman"/>
                <w:color w:val="000000"/>
                <w:sz w:val="28"/>
                <w:szCs w:val="28"/>
              </w:rPr>
              <w:t>TOTAL GENERAL</w:t>
            </w:r>
          </w:p>
        </w:tc>
        <w:tc>
          <w:tcPr>
            <w:tcW w:w="2977" w:type="dxa"/>
            <w:shd w:val="clear" w:color="auto" w:fill="auto"/>
            <w:noWrap/>
            <w:vAlign w:val="bottom"/>
            <w:hideMark/>
          </w:tcPr>
          <w:p w:rsidR="00A333E0" w:rsidRPr="00575F68" w:rsidRDefault="00A333E0" w:rsidP="00DC1E7A">
            <w:pPr>
              <w:spacing w:after="0" w:line="240" w:lineRule="auto"/>
              <w:jc w:val="right"/>
              <w:rPr>
                <w:rFonts w:ascii="Calibri" w:eastAsia="Times New Roman" w:hAnsi="Calibri" w:cs="Times New Roman"/>
                <w:b/>
                <w:bCs/>
                <w:color w:val="000000"/>
                <w:sz w:val="28"/>
                <w:szCs w:val="28"/>
              </w:rPr>
            </w:pPr>
            <w:r w:rsidRPr="00575F68">
              <w:rPr>
                <w:rFonts w:ascii="Calibri" w:eastAsia="Times New Roman" w:hAnsi="Calibri" w:cs="Times New Roman"/>
                <w:b/>
                <w:bCs/>
                <w:color w:val="000000"/>
                <w:sz w:val="28"/>
                <w:szCs w:val="28"/>
              </w:rPr>
              <w:t>5.634.808.91</w:t>
            </w:r>
          </w:p>
        </w:tc>
      </w:tr>
    </w:tbl>
    <w:p w:rsidR="00A333E0" w:rsidRPr="00575F68" w:rsidRDefault="00A333E0" w:rsidP="00A333E0">
      <w:pPr>
        <w:pStyle w:val="Paragraphedeliste"/>
        <w:jc w:val="both"/>
        <w:rPr>
          <w:rFonts w:ascii="Garamond" w:hAnsi="Garamond"/>
          <w:b/>
          <w:color w:val="984806" w:themeColor="accent6" w:themeShade="80"/>
          <w:sz w:val="28"/>
          <w:szCs w:val="28"/>
        </w:rPr>
      </w:pPr>
    </w:p>
    <w:p w:rsidR="00A333E0" w:rsidRPr="00575F68" w:rsidRDefault="00A333E0" w:rsidP="00A333E0">
      <w:pPr>
        <w:pStyle w:val="Paragraphedeliste"/>
        <w:jc w:val="both"/>
        <w:rPr>
          <w:rFonts w:ascii="Garamond" w:hAnsi="Garamond"/>
          <w:b/>
          <w:color w:val="984806" w:themeColor="accent6" w:themeShade="80"/>
          <w:sz w:val="28"/>
          <w:szCs w:val="28"/>
        </w:rPr>
      </w:pPr>
      <w:r w:rsidRPr="00575F68">
        <w:rPr>
          <w:rFonts w:ascii="Garamond" w:hAnsi="Garamond"/>
          <w:b/>
          <w:color w:val="984806" w:themeColor="accent6" w:themeShade="80"/>
          <w:sz w:val="28"/>
          <w:szCs w:val="28"/>
        </w:rPr>
        <w:br w:type="textWrapping" w:clear="all"/>
      </w:r>
    </w:p>
    <w:p w:rsidR="00A333E0" w:rsidRPr="00575F68" w:rsidRDefault="00A333E0" w:rsidP="00A333E0">
      <w:pPr>
        <w:pStyle w:val="Paragraphedeliste"/>
        <w:jc w:val="both"/>
        <w:rPr>
          <w:rFonts w:ascii="Garamond" w:hAnsi="Garamond"/>
          <w:i/>
          <w:color w:val="984806" w:themeColor="accent6" w:themeShade="80"/>
          <w:sz w:val="28"/>
          <w:szCs w:val="28"/>
        </w:rPr>
      </w:pPr>
      <w:r w:rsidRPr="00575F68">
        <w:rPr>
          <w:rFonts w:ascii="Garamond" w:hAnsi="Garamond"/>
          <w:i/>
          <w:color w:val="984806" w:themeColor="accent6" w:themeShade="80"/>
          <w:sz w:val="28"/>
          <w:szCs w:val="28"/>
        </w:rPr>
        <w:t>Note : Certaines Entités perceptrices n’ont pas transmis les données  dans le délai (ex: SAESSCAM Sud Kivu). D’autres ont carrément refusé de les communiquer (cas de ITRI Nord Kivu)</w:t>
      </w:r>
    </w:p>
    <w:p w:rsidR="00A333E0" w:rsidRPr="00575F68" w:rsidRDefault="00A333E0" w:rsidP="00A333E0">
      <w:pPr>
        <w:pStyle w:val="Paragraphedeliste"/>
        <w:jc w:val="both"/>
        <w:rPr>
          <w:rFonts w:ascii="Garamond" w:hAnsi="Garamond"/>
          <w:i/>
          <w:color w:val="984806" w:themeColor="accent6" w:themeShade="80"/>
          <w:sz w:val="28"/>
          <w:szCs w:val="28"/>
        </w:rPr>
      </w:pPr>
    </w:p>
    <w:p w:rsidR="00A333E0" w:rsidRPr="00575F68" w:rsidRDefault="00A333E0" w:rsidP="00A333E0">
      <w:pPr>
        <w:pStyle w:val="Paragraphedeliste"/>
        <w:ind w:left="0"/>
        <w:jc w:val="both"/>
        <w:rPr>
          <w:rFonts w:ascii="Garamond" w:hAnsi="Garamond"/>
          <w:b/>
          <w:color w:val="984806" w:themeColor="accent6" w:themeShade="80"/>
          <w:sz w:val="28"/>
          <w:szCs w:val="28"/>
          <w:highlight w:val="yellow"/>
        </w:rPr>
      </w:pPr>
    </w:p>
    <w:p w:rsidR="003C4C83" w:rsidRPr="00575F68" w:rsidRDefault="003C4C83" w:rsidP="003C4C83">
      <w:pPr>
        <w:pStyle w:val="Paragraphedeliste"/>
        <w:numPr>
          <w:ilvl w:val="0"/>
          <w:numId w:val="6"/>
        </w:numPr>
        <w:jc w:val="both"/>
        <w:rPr>
          <w:rFonts w:ascii="Garamond" w:hAnsi="Garamond"/>
          <w:b/>
          <w:color w:val="984806" w:themeColor="accent6" w:themeShade="80"/>
          <w:sz w:val="28"/>
          <w:szCs w:val="28"/>
        </w:rPr>
      </w:pPr>
      <w:r w:rsidRPr="00575F68">
        <w:rPr>
          <w:rFonts w:ascii="Garamond" w:hAnsi="Garamond"/>
          <w:b/>
          <w:color w:val="984806" w:themeColor="accent6" w:themeShade="80"/>
          <w:sz w:val="28"/>
          <w:szCs w:val="28"/>
        </w:rPr>
        <w:t>Secteur forestier</w:t>
      </w:r>
    </w:p>
    <w:p w:rsidR="007875FB" w:rsidRDefault="003C4C83" w:rsidP="003C4C83">
      <w:pPr>
        <w:pStyle w:val="Paragraphedeliste"/>
        <w:ind w:left="0"/>
        <w:jc w:val="both"/>
        <w:rPr>
          <w:rFonts w:ascii="Garamond" w:hAnsi="Garamond"/>
          <w:color w:val="000000" w:themeColor="text1"/>
          <w:sz w:val="28"/>
          <w:szCs w:val="28"/>
        </w:rPr>
      </w:pPr>
      <w:r w:rsidRPr="00575F68">
        <w:rPr>
          <w:rFonts w:ascii="Garamond" w:hAnsi="Garamond"/>
          <w:color w:val="000000" w:themeColor="text1"/>
          <w:sz w:val="28"/>
          <w:szCs w:val="28"/>
        </w:rPr>
        <w:t xml:space="preserve">A l'issue des missions effectuées dans les provinces démembrées de Bandundu, Equateur et Province Orientale, et après analyse et compilations des données, nous avons obtenu que les recettes de l'Etat perçues par ses différentes Entités en 2014 s'élèvent à </w:t>
      </w:r>
      <w:r w:rsidR="00901C8F" w:rsidRPr="00575F68">
        <w:rPr>
          <w:rFonts w:ascii="Calibri" w:eastAsia="Times New Roman" w:hAnsi="Calibri" w:cs="Times New Roman"/>
          <w:b/>
          <w:bCs/>
          <w:color w:val="000000" w:themeColor="text1"/>
          <w:sz w:val="28"/>
          <w:szCs w:val="28"/>
        </w:rPr>
        <w:t>10 388 146,23 USD</w:t>
      </w:r>
      <w:r w:rsidR="00B32D2A" w:rsidRPr="00575F68">
        <w:rPr>
          <w:rFonts w:ascii="Garamond" w:hAnsi="Garamond"/>
          <w:color w:val="000000" w:themeColor="text1"/>
          <w:sz w:val="28"/>
          <w:szCs w:val="28"/>
        </w:rPr>
        <w:t>, ventilées comme suit:</w:t>
      </w:r>
    </w:p>
    <w:p w:rsidR="00575F68" w:rsidRDefault="00575F68" w:rsidP="003C4C83">
      <w:pPr>
        <w:pStyle w:val="Paragraphedeliste"/>
        <w:ind w:left="0"/>
        <w:jc w:val="both"/>
        <w:rPr>
          <w:rFonts w:ascii="Garamond" w:hAnsi="Garamond"/>
          <w:color w:val="000000" w:themeColor="text1"/>
          <w:sz w:val="28"/>
          <w:szCs w:val="28"/>
        </w:rPr>
      </w:pPr>
    </w:p>
    <w:p w:rsidR="00575F68" w:rsidRDefault="00575F68" w:rsidP="003C4C83">
      <w:pPr>
        <w:pStyle w:val="Paragraphedeliste"/>
        <w:ind w:left="0"/>
        <w:jc w:val="both"/>
        <w:rPr>
          <w:rFonts w:ascii="Garamond" w:hAnsi="Garamond"/>
          <w:color w:val="000000" w:themeColor="text1"/>
          <w:sz w:val="28"/>
          <w:szCs w:val="28"/>
        </w:rPr>
      </w:pPr>
    </w:p>
    <w:p w:rsidR="00575F68" w:rsidRDefault="00575F68" w:rsidP="003C4C83">
      <w:pPr>
        <w:pStyle w:val="Paragraphedeliste"/>
        <w:ind w:left="0"/>
        <w:jc w:val="both"/>
        <w:rPr>
          <w:rFonts w:ascii="Garamond" w:hAnsi="Garamond"/>
          <w:color w:val="000000" w:themeColor="text1"/>
          <w:sz w:val="28"/>
          <w:szCs w:val="28"/>
        </w:rPr>
      </w:pPr>
    </w:p>
    <w:p w:rsidR="00575F68" w:rsidRDefault="00575F68" w:rsidP="003C4C83">
      <w:pPr>
        <w:pStyle w:val="Paragraphedeliste"/>
        <w:ind w:left="0"/>
        <w:jc w:val="both"/>
        <w:rPr>
          <w:rFonts w:ascii="Garamond" w:hAnsi="Garamond"/>
          <w:color w:val="000000" w:themeColor="text1"/>
          <w:sz w:val="28"/>
          <w:szCs w:val="28"/>
        </w:rPr>
      </w:pPr>
    </w:p>
    <w:p w:rsidR="00575F68" w:rsidRPr="00575F68" w:rsidRDefault="00575F68" w:rsidP="003C4C83">
      <w:pPr>
        <w:pStyle w:val="Paragraphedeliste"/>
        <w:ind w:left="0"/>
        <w:jc w:val="both"/>
        <w:rPr>
          <w:rFonts w:ascii="Garamond" w:hAnsi="Garamond"/>
          <w:color w:val="000000" w:themeColor="text1"/>
          <w:sz w:val="28"/>
          <w:szCs w:val="28"/>
        </w:rPr>
      </w:pPr>
    </w:p>
    <w:tbl>
      <w:tblPr>
        <w:tblW w:w="5969" w:type="dxa"/>
        <w:tblInd w:w="55" w:type="dxa"/>
        <w:tblCellMar>
          <w:left w:w="70" w:type="dxa"/>
          <w:right w:w="70" w:type="dxa"/>
        </w:tblCellMar>
        <w:tblLook w:val="04A0" w:firstRow="1" w:lastRow="0" w:firstColumn="1" w:lastColumn="0" w:noHBand="0" w:noVBand="1"/>
      </w:tblPr>
      <w:tblGrid>
        <w:gridCol w:w="3134"/>
        <w:gridCol w:w="2835"/>
      </w:tblGrid>
      <w:tr w:rsidR="00901C8F" w:rsidRPr="00575F68" w:rsidTr="00575F68">
        <w:trPr>
          <w:trHeight w:val="315"/>
        </w:trPr>
        <w:tc>
          <w:tcPr>
            <w:tcW w:w="3134" w:type="dxa"/>
            <w:tcBorders>
              <w:top w:val="nil"/>
              <w:left w:val="single" w:sz="8" w:space="0" w:color="auto"/>
              <w:bottom w:val="single" w:sz="8" w:space="0" w:color="auto"/>
              <w:right w:val="single" w:sz="4" w:space="0" w:color="auto"/>
            </w:tcBorders>
            <w:shd w:val="clear" w:color="000000" w:fill="FCD5B4"/>
            <w:noWrap/>
            <w:vAlign w:val="bottom"/>
            <w:hideMark/>
          </w:tcPr>
          <w:p w:rsidR="00901C8F" w:rsidRPr="00575F68" w:rsidRDefault="00901C8F" w:rsidP="00901C8F">
            <w:pPr>
              <w:spacing w:after="0" w:line="240" w:lineRule="auto"/>
              <w:rPr>
                <w:rFonts w:ascii="Garamond" w:eastAsia="Times New Roman" w:hAnsi="Garamond" w:cs="Times New Roman"/>
                <w:b/>
                <w:bCs/>
                <w:color w:val="000000"/>
                <w:sz w:val="32"/>
                <w:szCs w:val="28"/>
              </w:rPr>
            </w:pPr>
            <w:r w:rsidRPr="00575F68">
              <w:rPr>
                <w:rFonts w:ascii="Garamond" w:eastAsia="Times New Roman" w:hAnsi="Garamond" w:cs="Times New Roman"/>
                <w:b/>
                <w:bCs/>
                <w:color w:val="000000"/>
                <w:sz w:val="32"/>
                <w:szCs w:val="28"/>
              </w:rPr>
              <w:t>Régies</w:t>
            </w:r>
          </w:p>
        </w:tc>
        <w:tc>
          <w:tcPr>
            <w:tcW w:w="2835" w:type="dxa"/>
            <w:tcBorders>
              <w:top w:val="nil"/>
              <w:left w:val="nil"/>
              <w:bottom w:val="single" w:sz="8" w:space="0" w:color="auto"/>
              <w:right w:val="single" w:sz="4" w:space="0" w:color="auto"/>
            </w:tcBorders>
            <w:shd w:val="clear" w:color="000000" w:fill="FCD5B4"/>
            <w:noWrap/>
            <w:vAlign w:val="bottom"/>
            <w:hideMark/>
          </w:tcPr>
          <w:p w:rsidR="00901C8F" w:rsidRPr="00575F68" w:rsidRDefault="00901C8F" w:rsidP="00901C8F">
            <w:pPr>
              <w:spacing w:after="0" w:line="240" w:lineRule="auto"/>
              <w:jc w:val="right"/>
              <w:rPr>
                <w:rFonts w:ascii="Garamond" w:eastAsia="Times New Roman" w:hAnsi="Garamond" w:cs="Times New Roman"/>
                <w:b/>
                <w:bCs/>
                <w:color w:val="000000"/>
                <w:sz w:val="32"/>
                <w:szCs w:val="28"/>
              </w:rPr>
            </w:pPr>
            <w:r w:rsidRPr="00575F68">
              <w:rPr>
                <w:rFonts w:ascii="Garamond" w:eastAsia="Times New Roman" w:hAnsi="Garamond" w:cs="Times New Roman"/>
                <w:b/>
                <w:bCs/>
                <w:color w:val="000000"/>
                <w:sz w:val="32"/>
                <w:szCs w:val="28"/>
              </w:rPr>
              <w:t>Recettes perçues en USD</w:t>
            </w:r>
          </w:p>
        </w:tc>
      </w:tr>
      <w:tr w:rsidR="00901C8F" w:rsidRPr="00575F68" w:rsidTr="00575F68">
        <w:trPr>
          <w:trHeight w:val="315"/>
        </w:trPr>
        <w:tc>
          <w:tcPr>
            <w:tcW w:w="3134" w:type="dxa"/>
            <w:tcBorders>
              <w:top w:val="nil"/>
              <w:left w:val="single" w:sz="8" w:space="0" w:color="auto"/>
              <w:bottom w:val="single" w:sz="8" w:space="0" w:color="auto"/>
              <w:right w:val="single" w:sz="4" w:space="0" w:color="auto"/>
            </w:tcBorders>
            <w:shd w:val="clear" w:color="auto" w:fill="auto"/>
            <w:noWrap/>
            <w:vAlign w:val="bottom"/>
            <w:hideMark/>
          </w:tcPr>
          <w:p w:rsidR="00901C8F" w:rsidRPr="00575F68" w:rsidRDefault="00901C8F" w:rsidP="00901C8F">
            <w:pPr>
              <w:spacing w:after="0" w:line="240" w:lineRule="auto"/>
              <w:rPr>
                <w:rFonts w:ascii="Garamond" w:eastAsia="Times New Roman" w:hAnsi="Garamond" w:cs="Times New Roman"/>
                <w:bCs/>
                <w:color w:val="000000"/>
                <w:sz w:val="32"/>
                <w:szCs w:val="28"/>
              </w:rPr>
            </w:pPr>
            <w:r w:rsidRPr="00575F68">
              <w:rPr>
                <w:rFonts w:ascii="Garamond" w:eastAsia="Times New Roman" w:hAnsi="Garamond" w:cs="Times New Roman"/>
                <w:bCs/>
                <w:color w:val="000000"/>
                <w:sz w:val="32"/>
                <w:szCs w:val="28"/>
              </w:rPr>
              <w:t>DGI</w:t>
            </w:r>
          </w:p>
        </w:tc>
        <w:tc>
          <w:tcPr>
            <w:tcW w:w="2835" w:type="dxa"/>
            <w:tcBorders>
              <w:top w:val="nil"/>
              <w:left w:val="nil"/>
              <w:bottom w:val="single" w:sz="8" w:space="0" w:color="auto"/>
              <w:right w:val="single" w:sz="4" w:space="0" w:color="auto"/>
            </w:tcBorders>
            <w:shd w:val="clear" w:color="auto" w:fill="auto"/>
            <w:noWrap/>
            <w:vAlign w:val="bottom"/>
            <w:hideMark/>
          </w:tcPr>
          <w:p w:rsidR="00901C8F" w:rsidRPr="00575F68" w:rsidRDefault="00901C8F" w:rsidP="00575F68">
            <w:pPr>
              <w:spacing w:after="0" w:line="240" w:lineRule="auto"/>
              <w:ind w:hanging="212"/>
              <w:jc w:val="right"/>
              <w:rPr>
                <w:rFonts w:ascii="Garamond" w:eastAsia="Times New Roman" w:hAnsi="Garamond" w:cs="Times New Roman"/>
                <w:bCs/>
                <w:color w:val="000000"/>
                <w:sz w:val="32"/>
                <w:szCs w:val="28"/>
              </w:rPr>
            </w:pPr>
            <w:r w:rsidRPr="00575F68">
              <w:rPr>
                <w:rFonts w:ascii="Garamond" w:eastAsia="Times New Roman" w:hAnsi="Garamond" w:cs="Times New Roman"/>
                <w:bCs/>
                <w:color w:val="000000"/>
                <w:sz w:val="32"/>
                <w:szCs w:val="28"/>
              </w:rPr>
              <w:t xml:space="preserve">1 700 121,00   </w:t>
            </w:r>
          </w:p>
        </w:tc>
      </w:tr>
      <w:tr w:rsidR="00901C8F" w:rsidRPr="00575F68" w:rsidTr="00575F68">
        <w:trPr>
          <w:trHeight w:val="315"/>
        </w:trPr>
        <w:tc>
          <w:tcPr>
            <w:tcW w:w="3134" w:type="dxa"/>
            <w:tcBorders>
              <w:top w:val="nil"/>
              <w:left w:val="single" w:sz="8" w:space="0" w:color="auto"/>
              <w:bottom w:val="single" w:sz="8" w:space="0" w:color="auto"/>
              <w:right w:val="single" w:sz="4" w:space="0" w:color="auto"/>
            </w:tcBorders>
            <w:shd w:val="clear" w:color="auto" w:fill="auto"/>
            <w:noWrap/>
            <w:vAlign w:val="bottom"/>
            <w:hideMark/>
          </w:tcPr>
          <w:p w:rsidR="00901C8F" w:rsidRPr="00575F68" w:rsidRDefault="00901C8F" w:rsidP="00901C8F">
            <w:pPr>
              <w:spacing w:after="0" w:line="240" w:lineRule="auto"/>
              <w:rPr>
                <w:rFonts w:ascii="Garamond" w:eastAsia="Times New Roman" w:hAnsi="Garamond" w:cs="Times New Roman"/>
                <w:bCs/>
                <w:color w:val="000000"/>
                <w:sz w:val="32"/>
                <w:szCs w:val="28"/>
              </w:rPr>
            </w:pPr>
            <w:r w:rsidRPr="00575F68">
              <w:rPr>
                <w:rFonts w:ascii="Garamond" w:eastAsia="Times New Roman" w:hAnsi="Garamond" w:cs="Times New Roman"/>
                <w:bCs/>
                <w:color w:val="000000"/>
                <w:sz w:val="32"/>
                <w:szCs w:val="28"/>
              </w:rPr>
              <w:t>DGRAD</w:t>
            </w:r>
          </w:p>
        </w:tc>
        <w:tc>
          <w:tcPr>
            <w:tcW w:w="2835" w:type="dxa"/>
            <w:tcBorders>
              <w:top w:val="nil"/>
              <w:left w:val="nil"/>
              <w:bottom w:val="single" w:sz="8" w:space="0" w:color="auto"/>
              <w:right w:val="single" w:sz="4" w:space="0" w:color="auto"/>
            </w:tcBorders>
            <w:shd w:val="clear" w:color="auto" w:fill="auto"/>
            <w:noWrap/>
            <w:vAlign w:val="bottom"/>
            <w:hideMark/>
          </w:tcPr>
          <w:p w:rsidR="00901C8F" w:rsidRPr="00575F68" w:rsidRDefault="00901C8F" w:rsidP="00575F68">
            <w:pPr>
              <w:spacing w:after="0" w:line="240" w:lineRule="auto"/>
              <w:ind w:left="-212" w:hanging="212"/>
              <w:jc w:val="right"/>
              <w:rPr>
                <w:rFonts w:ascii="Garamond" w:eastAsia="Times New Roman" w:hAnsi="Garamond" w:cs="Times New Roman"/>
                <w:bCs/>
                <w:color w:val="000000"/>
                <w:sz w:val="32"/>
                <w:szCs w:val="28"/>
              </w:rPr>
            </w:pPr>
            <w:r w:rsidRPr="00575F68">
              <w:rPr>
                <w:rFonts w:ascii="Garamond" w:eastAsia="Times New Roman" w:hAnsi="Garamond" w:cs="Times New Roman"/>
                <w:bCs/>
                <w:color w:val="000000"/>
                <w:sz w:val="32"/>
                <w:szCs w:val="28"/>
              </w:rPr>
              <w:t xml:space="preserve">2 338 121,23   </w:t>
            </w:r>
          </w:p>
        </w:tc>
      </w:tr>
      <w:tr w:rsidR="00901C8F" w:rsidRPr="00575F68" w:rsidTr="00575F68">
        <w:trPr>
          <w:trHeight w:val="315"/>
        </w:trPr>
        <w:tc>
          <w:tcPr>
            <w:tcW w:w="3134" w:type="dxa"/>
            <w:tcBorders>
              <w:top w:val="nil"/>
              <w:left w:val="single" w:sz="8" w:space="0" w:color="auto"/>
              <w:bottom w:val="single" w:sz="8" w:space="0" w:color="auto"/>
              <w:right w:val="single" w:sz="4" w:space="0" w:color="auto"/>
            </w:tcBorders>
            <w:shd w:val="clear" w:color="auto" w:fill="auto"/>
            <w:noWrap/>
            <w:vAlign w:val="bottom"/>
            <w:hideMark/>
          </w:tcPr>
          <w:p w:rsidR="00901C8F" w:rsidRPr="00575F68" w:rsidRDefault="00901C8F" w:rsidP="00901C8F">
            <w:pPr>
              <w:spacing w:after="0" w:line="240" w:lineRule="auto"/>
              <w:rPr>
                <w:rFonts w:ascii="Garamond" w:eastAsia="Times New Roman" w:hAnsi="Garamond" w:cs="Times New Roman"/>
                <w:bCs/>
                <w:color w:val="000000"/>
                <w:sz w:val="32"/>
                <w:szCs w:val="28"/>
              </w:rPr>
            </w:pPr>
            <w:r w:rsidRPr="00575F68">
              <w:rPr>
                <w:rFonts w:ascii="Garamond" w:eastAsia="Times New Roman" w:hAnsi="Garamond" w:cs="Times New Roman"/>
                <w:bCs/>
                <w:color w:val="000000"/>
                <w:sz w:val="32"/>
                <w:szCs w:val="28"/>
              </w:rPr>
              <w:t>DGDA</w:t>
            </w:r>
          </w:p>
        </w:tc>
        <w:tc>
          <w:tcPr>
            <w:tcW w:w="2835" w:type="dxa"/>
            <w:tcBorders>
              <w:top w:val="nil"/>
              <w:left w:val="nil"/>
              <w:bottom w:val="single" w:sz="8" w:space="0" w:color="auto"/>
              <w:right w:val="single" w:sz="4" w:space="0" w:color="auto"/>
            </w:tcBorders>
            <w:shd w:val="clear" w:color="auto" w:fill="auto"/>
            <w:noWrap/>
            <w:vAlign w:val="bottom"/>
            <w:hideMark/>
          </w:tcPr>
          <w:p w:rsidR="00901C8F" w:rsidRPr="00575F68" w:rsidRDefault="00901C8F" w:rsidP="00575F68">
            <w:pPr>
              <w:spacing w:after="0" w:line="240" w:lineRule="auto"/>
              <w:jc w:val="right"/>
              <w:rPr>
                <w:rFonts w:ascii="Garamond" w:eastAsia="Times New Roman" w:hAnsi="Garamond" w:cs="Times New Roman"/>
                <w:bCs/>
                <w:color w:val="000000"/>
                <w:sz w:val="32"/>
                <w:szCs w:val="28"/>
              </w:rPr>
            </w:pPr>
            <w:r w:rsidRPr="00575F68">
              <w:rPr>
                <w:rFonts w:ascii="Garamond" w:eastAsia="Times New Roman" w:hAnsi="Garamond" w:cs="Times New Roman"/>
                <w:bCs/>
                <w:color w:val="000000"/>
                <w:sz w:val="32"/>
                <w:szCs w:val="28"/>
              </w:rPr>
              <w:t xml:space="preserve">1 069 084,00   </w:t>
            </w:r>
          </w:p>
        </w:tc>
      </w:tr>
      <w:tr w:rsidR="00901C8F" w:rsidRPr="00575F68" w:rsidTr="00575F68">
        <w:trPr>
          <w:trHeight w:val="315"/>
        </w:trPr>
        <w:tc>
          <w:tcPr>
            <w:tcW w:w="3134" w:type="dxa"/>
            <w:tcBorders>
              <w:top w:val="nil"/>
              <w:left w:val="single" w:sz="8" w:space="0" w:color="auto"/>
              <w:bottom w:val="single" w:sz="8" w:space="0" w:color="auto"/>
              <w:right w:val="single" w:sz="4" w:space="0" w:color="auto"/>
            </w:tcBorders>
            <w:shd w:val="clear" w:color="auto" w:fill="auto"/>
            <w:noWrap/>
            <w:vAlign w:val="bottom"/>
            <w:hideMark/>
          </w:tcPr>
          <w:p w:rsidR="00901C8F" w:rsidRPr="00575F68" w:rsidRDefault="00901C8F" w:rsidP="00901C8F">
            <w:pPr>
              <w:spacing w:after="0" w:line="240" w:lineRule="auto"/>
              <w:rPr>
                <w:rFonts w:ascii="Garamond" w:eastAsia="Times New Roman" w:hAnsi="Garamond" w:cs="Times New Roman"/>
                <w:bCs/>
                <w:color w:val="000000"/>
                <w:sz w:val="32"/>
                <w:szCs w:val="28"/>
              </w:rPr>
            </w:pPr>
            <w:r w:rsidRPr="00575F68">
              <w:rPr>
                <w:rFonts w:ascii="Garamond" w:eastAsia="Times New Roman" w:hAnsi="Garamond" w:cs="Times New Roman"/>
                <w:bCs/>
                <w:color w:val="000000"/>
                <w:sz w:val="32"/>
                <w:szCs w:val="28"/>
              </w:rPr>
              <w:t>DGREQ</w:t>
            </w:r>
          </w:p>
        </w:tc>
        <w:tc>
          <w:tcPr>
            <w:tcW w:w="2835" w:type="dxa"/>
            <w:tcBorders>
              <w:top w:val="nil"/>
              <w:left w:val="nil"/>
              <w:bottom w:val="single" w:sz="8" w:space="0" w:color="auto"/>
              <w:right w:val="single" w:sz="4" w:space="0" w:color="auto"/>
            </w:tcBorders>
            <w:shd w:val="clear" w:color="auto" w:fill="auto"/>
            <w:noWrap/>
            <w:vAlign w:val="bottom"/>
            <w:hideMark/>
          </w:tcPr>
          <w:p w:rsidR="00901C8F" w:rsidRPr="00575F68" w:rsidRDefault="00901C8F" w:rsidP="00901C8F">
            <w:pPr>
              <w:spacing w:after="0" w:line="240" w:lineRule="auto"/>
              <w:jc w:val="right"/>
              <w:rPr>
                <w:rFonts w:ascii="Garamond" w:eastAsia="Times New Roman" w:hAnsi="Garamond" w:cs="Times New Roman"/>
                <w:bCs/>
                <w:color w:val="000000"/>
                <w:sz w:val="32"/>
                <w:szCs w:val="28"/>
              </w:rPr>
            </w:pPr>
            <w:r w:rsidRPr="00575F68">
              <w:rPr>
                <w:rFonts w:ascii="Garamond" w:eastAsia="Times New Roman" w:hAnsi="Garamond" w:cs="Times New Roman"/>
                <w:bCs/>
                <w:color w:val="000000"/>
                <w:sz w:val="32"/>
                <w:szCs w:val="28"/>
              </w:rPr>
              <w:t xml:space="preserve">            2 220 341,00   </w:t>
            </w:r>
          </w:p>
        </w:tc>
      </w:tr>
      <w:tr w:rsidR="00901C8F" w:rsidRPr="00575F68" w:rsidTr="00575F68">
        <w:trPr>
          <w:trHeight w:val="315"/>
        </w:trPr>
        <w:tc>
          <w:tcPr>
            <w:tcW w:w="3134" w:type="dxa"/>
            <w:tcBorders>
              <w:top w:val="nil"/>
              <w:left w:val="single" w:sz="8" w:space="0" w:color="auto"/>
              <w:bottom w:val="single" w:sz="8" w:space="0" w:color="auto"/>
              <w:right w:val="single" w:sz="4" w:space="0" w:color="auto"/>
            </w:tcBorders>
            <w:shd w:val="clear" w:color="auto" w:fill="auto"/>
            <w:noWrap/>
            <w:vAlign w:val="bottom"/>
            <w:hideMark/>
          </w:tcPr>
          <w:p w:rsidR="00901C8F" w:rsidRPr="00575F68" w:rsidRDefault="00901C8F" w:rsidP="00901C8F">
            <w:pPr>
              <w:spacing w:after="0" w:line="240" w:lineRule="auto"/>
              <w:rPr>
                <w:rFonts w:ascii="Garamond" w:eastAsia="Times New Roman" w:hAnsi="Garamond" w:cs="Times New Roman"/>
                <w:bCs/>
                <w:color w:val="000000"/>
                <w:sz w:val="32"/>
                <w:szCs w:val="28"/>
              </w:rPr>
            </w:pPr>
            <w:r w:rsidRPr="00575F68">
              <w:rPr>
                <w:rFonts w:ascii="Garamond" w:eastAsia="Times New Roman" w:hAnsi="Garamond" w:cs="Times New Roman"/>
                <w:bCs/>
                <w:color w:val="000000"/>
                <w:sz w:val="32"/>
                <w:szCs w:val="28"/>
              </w:rPr>
              <w:t>DGRPO</w:t>
            </w:r>
          </w:p>
        </w:tc>
        <w:tc>
          <w:tcPr>
            <w:tcW w:w="2835" w:type="dxa"/>
            <w:tcBorders>
              <w:top w:val="nil"/>
              <w:left w:val="nil"/>
              <w:bottom w:val="single" w:sz="8" w:space="0" w:color="auto"/>
              <w:right w:val="single" w:sz="4" w:space="0" w:color="auto"/>
            </w:tcBorders>
            <w:shd w:val="clear" w:color="auto" w:fill="auto"/>
            <w:noWrap/>
            <w:vAlign w:val="bottom"/>
            <w:hideMark/>
          </w:tcPr>
          <w:p w:rsidR="00901C8F" w:rsidRPr="00575F68" w:rsidRDefault="00901C8F" w:rsidP="00901C8F">
            <w:pPr>
              <w:spacing w:after="0" w:line="240" w:lineRule="auto"/>
              <w:jc w:val="right"/>
              <w:rPr>
                <w:rFonts w:ascii="Garamond" w:eastAsia="Times New Roman" w:hAnsi="Garamond" w:cs="Times New Roman"/>
                <w:bCs/>
                <w:color w:val="000000"/>
                <w:sz w:val="32"/>
                <w:szCs w:val="28"/>
              </w:rPr>
            </w:pPr>
            <w:r w:rsidRPr="00575F68">
              <w:rPr>
                <w:rFonts w:ascii="Garamond" w:eastAsia="Times New Roman" w:hAnsi="Garamond" w:cs="Times New Roman"/>
                <w:bCs/>
                <w:color w:val="000000"/>
                <w:sz w:val="32"/>
                <w:szCs w:val="28"/>
              </w:rPr>
              <w:t xml:space="preserve">1 780 975,00   </w:t>
            </w:r>
          </w:p>
        </w:tc>
      </w:tr>
      <w:tr w:rsidR="00901C8F" w:rsidRPr="00575F68" w:rsidTr="00575F68">
        <w:trPr>
          <w:trHeight w:val="315"/>
        </w:trPr>
        <w:tc>
          <w:tcPr>
            <w:tcW w:w="3134" w:type="dxa"/>
            <w:tcBorders>
              <w:top w:val="nil"/>
              <w:left w:val="single" w:sz="8" w:space="0" w:color="auto"/>
              <w:bottom w:val="single" w:sz="8" w:space="0" w:color="auto"/>
              <w:right w:val="single" w:sz="4" w:space="0" w:color="auto"/>
            </w:tcBorders>
            <w:shd w:val="clear" w:color="auto" w:fill="auto"/>
            <w:noWrap/>
            <w:vAlign w:val="bottom"/>
            <w:hideMark/>
          </w:tcPr>
          <w:p w:rsidR="00901C8F" w:rsidRPr="00575F68" w:rsidRDefault="00901C8F" w:rsidP="00901C8F">
            <w:pPr>
              <w:spacing w:after="0" w:line="240" w:lineRule="auto"/>
              <w:rPr>
                <w:rFonts w:ascii="Garamond" w:eastAsia="Times New Roman" w:hAnsi="Garamond" w:cs="Times New Roman"/>
                <w:bCs/>
                <w:color w:val="000000"/>
                <w:sz w:val="32"/>
                <w:szCs w:val="28"/>
              </w:rPr>
            </w:pPr>
            <w:r w:rsidRPr="00575F68">
              <w:rPr>
                <w:rFonts w:ascii="Garamond" w:eastAsia="Times New Roman" w:hAnsi="Garamond" w:cs="Times New Roman"/>
                <w:bCs/>
                <w:color w:val="000000"/>
                <w:sz w:val="32"/>
                <w:szCs w:val="28"/>
              </w:rPr>
              <w:t>BRB</w:t>
            </w:r>
          </w:p>
        </w:tc>
        <w:tc>
          <w:tcPr>
            <w:tcW w:w="2835" w:type="dxa"/>
            <w:tcBorders>
              <w:top w:val="nil"/>
              <w:left w:val="nil"/>
              <w:bottom w:val="single" w:sz="8" w:space="0" w:color="auto"/>
              <w:right w:val="single" w:sz="4" w:space="0" w:color="auto"/>
            </w:tcBorders>
            <w:shd w:val="clear" w:color="auto" w:fill="auto"/>
            <w:noWrap/>
            <w:vAlign w:val="bottom"/>
            <w:hideMark/>
          </w:tcPr>
          <w:p w:rsidR="00901C8F" w:rsidRPr="00575F68" w:rsidRDefault="00901C8F" w:rsidP="00901C8F">
            <w:pPr>
              <w:spacing w:after="0" w:line="240" w:lineRule="auto"/>
              <w:jc w:val="right"/>
              <w:rPr>
                <w:rFonts w:ascii="Garamond" w:eastAsia="Times New Roman" w:hAnsi="Garamond" w:cs="Times New Roman"/>
                <w:bCs/>
                <w:color w:val="000000"/>
                <w:sz w:val="32"/>
                <w:szCs w:val="28"/>
              </w:rPr>
            </w:pPr>
            <w:r w:rsidRPr="00575F68">
              <w:rPr>
                <w:rFonts w:ascii="Garamond" w:eastAsia="Times New Roman" w:hAnsi="Garamond" w:cs="Times New Roman"/>
                <w:bCs/>
                <w:color w:val="000000"/>
                <w:sz w:val="32"/>
                <w:szCs w:val="28"/>
              </w:rPr>
              <w:t xml:space="preserve">1 279 504,00   </w:t>
            </w:r>
          </w:p>
        </w:tc>
      </w:tr>
      <w:tr w:rsidR="00901C8F" w:rsidRPr="00575F68" w:rsidTr="00575F68">
        <w:trPr>
          <w:trHeight w:val="315"/>
        </w:trPr>
        <w:tc>
          <w:tcPr>
            <w:tcW w:w="3134" w:type="dxa"/>
            <w:tcBorders>
              <w:top w:val="nil"/>
              <w:left w:val="single" w:sz="8" w:space="0" w:color="auto"/>
              <w:bottom w:val="single" w:sz="8" w:space="0" w:color="auto"/>
              <w:right w:val="single" w:sz="4" w:space="0" w:color="auto"/>
            </w:tcBorders>
            <w:shd w:val="clear" w:color="000000" w:fill="FCD5B4"/>
            <w:noWrap/>
            <w:vAlign w:val="bottom"/>
            <w:hideMark/>
          </w:tcPr>
          <w:p w:rsidR="00901C8F" w:rsidRPr="00575F68" w:rsidRDefault="00901C8F" w:rsidP="00901C8F">
            <w:pPr>
              <w:spacing w:after="0" w:line="240" w:lineRule="auto"/>
              <w:rPr>
                <w:rFonts w:ascii="Garamond" w:eastAsia="Times New Roman" w:hAnsi="Garamond" w:cs="Times New Roman"/>
                <w:b/>
                <w:bCs/>
                <w:color w:val="000000"/>
                <w:sz w:val="32"/>
                <w:szCs w:val="28"/>
              </w:rPr>
            </w:pPr>
            <w:r w:rsidRPr="00575F68">
              <w:rPr>
                <w:rFonts w:ascii="Garamond" w:eastAsia="Times New Roman" w:hAnsi="Garamond" w:cs="Times New Roman"/>
                <w:b/>
                <w:bCs/>
                <w:color w:val="000000"/>
                <w:sz w:val="32"/>
                <w:szCs w:val="28"/>
              </w:rPr>
              <w:t>Total</w:t>
            </w:r>
          </w:p>
        </w:tc>
        <w:tc>
          <w:tcPr>
            <w:tcW w:w="2835" w:type="dxa"/>
            <w:tcBorders>
              <w:top w:val="nil"/>
              <w:left w:val="nil"/>
              <w:bottom w:val="single" w:sz="8" w:space="0" w:color="auto"/>
              <w:right w:val="single" w:sz="4" w:space="0" w:color="auto"/>
            </w:tcBorders>
            <w:shd w:val="clear" w:color="000000" w:fill="FCD5B4"/>
            <w:noWrap/>
            <w:vAlign w:val="bottom"/>
            <w:hideMark/>
          </w:tcPr>
          <w:p w:rsidR="00901C8F" w:rsidRPr="00575F68" w:rsidRDefault="00901C8F" w:rsidP="00901C8F">
            <w:pPr>
              <w:spacing w:after="0" w:line="240" w:lineRule="auto"/>
              <w:jc w:val="right"/>
              <w:rPr>
                <w:rFonts w:ascii="Garamond" w:eastAsia="Times New Roman" w:hAnsi="Garamond" w:cs="Times New Roman"/>
                <w:b/>
                <w:bCs/>
                <w:color w:val="000000"/>
                <w:sz w:val="32"/>
                <w:szCs w:val="28"/>
              </w:rPr>
            </w:pPr>
            <w:r w:rsidRPr="00575F68">
              <w:rPr>
                <w:rFonts w:ascii="Garamond" w:eastAsia="Times New Roman" w:hAnsi="Garamond" w:cs="Times New Roman"/>
                <w:b/>
                <w:bCs/>
                <w:color w:val="000000"/>
                <w:sz w:val="32"/>
                <w:szCs w:val="28"/>
              </w:rPr>
              <w:t xml:space="preserve">10 388 146,23   </w:t>
            </w:r>
          </w:p>
        </w:tc>
      </w:tr>
    </w:tbl>
    <w:p w:rsidR="00901C8F" w:rsidRPr="00575F68" w:rsidRDefault="00901C8F" w:rsidP="003C4C83">
      <w:pPr>
        <w:pStyle w:val="Paragraphedeliste"/>
        <w:ind w:left="0"/>
        <w:jc w:val="both"/>
        <w:rPr>
          <w:rFonts w:ascii="Garamond" w:hAnsi="Garamond"/>
          <w:b/>
          <w:color w:val="984806" w:themeColor="accent6" w:themeShade="80"/>
          <w:sz w:val="32"/>
          <w:szCs w:val="28"/>
        </w:rPr>
      </w:pPr>
    </w:p>
    <w:p w:rsidR="00811A47" w:rsidRPr="00575F68" w:rsidRDefault="00C52AF1" w:rsidP="000364FE">
      <w:pPr>
        <w:spacing w:after="0"/>
        <w:jc w:val="both"/>
        <w:rPr>
          <w:rFonts w:ascii="Garamond" w:hAnsi="Garamond"/>
          <w:sz w:val="28"/>
          <w:szCs w:val="28"/>
        </w:rPr>
      </w:pPr>
      <w:r w:rsidRPr="00575F68">
        <w:rPr>
          <w:rFonts w:ascii="Garamond" w:hAnsi="Garamond"/>
          <w:sz w:val="28"/>
          <w:szCs w:val="28"/>
        </w:rPr>
        <w:t>Dans la collecte de ces informations, nous a</w:t>
      </w:r>
      <w:r w:rsidR="00213E48" w:rsidRPr="00575F68">
        <w:rPr>
          <w:rFonts w:ascii="Garamond" w:hAnsi="Garamond"/>
          <w:sz w:val="28"/>
          <w:szCs w:val="28"/>
        </w:rPr>
        <w:t>vons rencontré des problèmes liés, notamment à:</w:t>
      </w:r>
    </w:p>
    <w:p w:rsidR="00F97C2C" w:rsidRPr="00575F68" w:rsidRDefault="00F97C2C" w:rsidP="00D2688F">
      <w:pPr>
        <w:spacing w:after="0"/>
        <w:jc w:val="both"/>
        <w:rPr>
          <w:rFonts w:ascii="Garamond" w:hAnsi="Garamond"/>
          <w:sz w:val="28"/>
          <w:szCs w:val="28"/>
        </w:rPr>
      </w:pPr>
      <w:r w:rsidRPr="00575F68">
        <w:rPr>
          <w:rFonts w:ascii="Garamond" w:hAnsi="Garamond"/>
          <w:sz w:val="28"/>
          <w:szCs w:val="28"/>
        </w:rPr>
        <w:t>-</w:t>
      </w:r>
      <w:r w:rsidR="00213E48" w:rsidRPr="00575F68">
        <w:rPr>
          <w:rFonts w:ascii="Garamond" w:hAnsi="Garamond"/>
          <w:sz w:val="28"/>
          <w:szCs w:val="28"/>
        </w:rPr>
        <w:t>une</w:t>
      </w:r>
      <w:r w:rsidRPr="00575F68">
        <w:rPr>
          <w:rFonts w:ascii="Garamond" w:hAnsi="Garamond"/>
          <w:sz w:val="28"/>
          <w:szCs w:val="28"/>
        </w:rPr>
        <w:t xml:space="preserve"> faible capacité de conservation des informations qui ne rassure pas que toutes les recettes avaient été captées pour qu'on juge de leur importance réelle;</w:t>
      </w:r>
    </w:p>
    <w:p w:rsidR="00213E48" w:rsidRPr="00575F68" w:rsidRDefault="00213E48" w:rsidP="00D2688F">
      <w:pPr>
        <w:spacing w:after="0"/>
        <w:jc w:val="both"/>
        <w:rPr>
          <w:rFonts w:ascii="Garamond" w:hAnsi="Garamond"/>
          <w:sz w:val="28"/>
          <w:szCs w:val="28"/>
        </w:rPr>
      </w:pPr>
      <w:r w:rsidRPr="00575F68">
        <w:rPr>
          <w:rFonts w:ascii="Garamond" w:hAnsi="Garamond"/>
          <w:sz w:val="28"/>
          <w:szCs w:val="28"/>
        </w:rPr>
        <w:t>-une forte mobilité des agents, surtout dans les Directions provinciales des recettes;</w:t>
      </w:r>
    </w:p>
    <w:p w:rsidR="00CC41F8" w:rsidRPr="00575F68" w:rsidRDefault="00CC41F8" w:rsidP="00D2688F">
      <w:pPr>
        <w:spacing w:after="0"/>
        <w:jc w:val="both"/>
        <w:rPr>
          <w:rFonts w:ascii="Garamond" w:hAnsi="Garamond"/>
          <w:sz w:val="28"/>
          <w:szCs w:val="28"/>
        </w:rPr>
      </w:pPr>
      <w:r w:rsidRPr="00575F68">
        <w:rPr>
          <w:rFonts w:ascii="Garamond" w:hAnsi="Garamond"/>
          <w:sz w:val="28"/>
          <w:szCs w:val="28"/>
        </w:rPr>
        <w:t>-l'appropriation du processus: les personnes formées lors des ateliers susmentionnés ne sont pas, pour la plupart, celles que nous avons trouvées pour nous fournir les informations. Avec ces nouvelles figures, il fa</w:t>
      </w:r>
      <w:r w:rsidR="00213E48" w:rsidRPr="00575F68">
        <w:rPr>
          <w:rFonts w:ascii="Garamond" w:hAnsi="Garamond"/>
          <w:sz w:val="28"/>
          <w:szCs w:val="28"/>
        </w:rPr>
        <w:t>llait</w:t>
      </w:r>
      <w:r w:rsidRPr="00575F68">
        <w:rPr>
          <w:rFonts w:ascii="Garamond" w:hAnsi="Garamond"/>
          <w:sz w:val="28"/>
          <w:szCs w:val="28"/>
        </w:rPr>
        <w:t xml:space="preserve"> recommencer à expliquer le processus ITIE en leur demandant en même </w:t>
      </w:r>
      <w:r w:rsidR="00601ABA" w:rsidRPr="00575F68">
        <w:rPr>
          <w:rFonts w:ascii="Garamond" w:hAnsi="Garamond"/>
          <w:sz w:val="28"/>
          <w:szCs w:val="28"/>
        </w:rPr>
        <w:t xml:space="preserve">temps </w:t>
      </w:r>
      <w:r w:rsidRPr="00575F68">
        <w:rPr>
          <w:rFonts w:ascii="Garamond" w:hAnsi="Garamond"/>
          <w:sz w:val="28"/>
          <w:szCs w:val="28"/>
        </w:rPr>
        <w:t>de le comprendre</w:t>
      </w:r>
      <w:r w:rsidR="00601ABA" w:rsidRPr="00575F68">
        <w:rPr>
          <w:rFonts w:ascii="Garamond" w:hAnsi="Garamond"/>
          <w:sz w:val="28"/>
          <w:szCs w:val="28"/>
        </w:rPr>
        <w:t xml:space="preserve"> à peine et de fournir les informations, ce qui n'</w:t>
      </w:r>
      <w:r w:rsidR="00213E48" w:rsidRPr="00575F68">
        <w:rPr>
          <w:rFonts w:ascii="Garamond" w:hAnsi="Garamond"/>
          <w:sz w:val="28"/>
          <w:szCs w:val="28"/>
        </w:rPr>
        <w:t>était</w:t>
      </w:r>
      <w:r w:rsidR="00601ABA" w:rsidRPr="00575F68">
        <w:rPr>
          <w:rFonts w:ascii="Garamond" w:hAnsi="Garamond"/>
          <w:sz w:val="28"/>
          <w:szCs w:val="28"/>
        </w:rPr>
        <w:t xml:space="preserve"> pas certain et facile.</w:t>
      </w:r>
    </w:p>
    <w:p w:rsidR="00B32D2A" w:rsidRPr="00575F68" w:rsidRDefault="00B32D2A" w:rsidP="0047098B">
      <w:pPr>
        <w:spacing w:after="0"/>
        <w:jc w:val="both"/>
        <w:rPr>
          <w:rFonts w:ascii="Garamond" w:hAnsi="Garamond"/>
          <w:sz w:val="28"/>
          <w:szCs w:val="28"/>
        </w:rPr>
      </w:pPr>
      <w:r w:rsidRPr="00575F68">
        <w:rPr>
          <w:rFonts w:ascii="Garamond" w:hAnsi="Garamond"/>
          <w:sz w:val="28"/>
          <w:szCs w:val="28"/>
        </w:rPr>
        <w:t>Ces différentes missions nous ont également permis d'identifier de nouveaux flux qui n'avaient pas été captés lors des études de cadrage. Il s'agit</w:t>
      </w:r>
      <w:r w:rsidR="0047098B" w:rsidRPr="00575F68">
        <w:rPr>
          <w:rFonts w:ascii="Garamond" w:hAnsi="Garamond"/>
          <w:sz w:val="28"/>
          <w:szCs w:val="28"/>
        </w:rPr>
        <w:t>, p</w:t>
      </w:r>
      <w:r w:rsidRPr="00575F68">
        <w:rPr>
          <w:rFonts w:ascii="Garamond" w:hAnsi="Garamond"/>
          <w:color w:val="000000" w:themeColor="text1"/>
          <w:sz w:val="28"/>
          <w:szCs w:val="28"/>
        </w:rPr>
        <w:t>our le secteur forestier</w:t>
      </w:r>
      <w:r w:rsidR="0047098B" w:rsidRPr="00575F68">
        <w:rPr>
          <w:rFonts w:ascii="Garamond" w:hAnsi="Garamond"/>
          <w:color w:val="000000" w:themeColor="text1"/>
          <w:sz w:val="28"/>
          <w:szCs w:val="28"/>
        </w:rPr>
        <w:t>, de:</w:t>
      </w:r>
    </w:p>
    <w:p w:rsidR="00B32D2A" w:rsidRPr="00575F68" w:rsidRDefault="00B32D2A" w:rsidP="00B32D2A">
      <w:pPr>
        <w:pStyle w:val="Paragraphedeliste"/>
        <w:numPr>
          <w:ilvl w:val="0"/>
          <w:numId w:val="7"/>
        </w:numPr>
        <w:spacing w:after="160" w:line="256" w:lineRule="auto"/>
        <w:jc w:val="both"/>
        <w:rPr>
          <w:rFonts w:ascii="Garamond" w:hAnsi="Garamond"/>
          <w:sz w:val="28"/>
          <w:szCs w:val="28"/>
        </w:rPr>
      </w:pPr>
      <w:r w:rsidRPr="00575F68">
        <w:rPr>
          <w:rFonts w:ascii="Garamond" w:hAnsi="Garamond"/>
          <w:sz w:val="28"/>
          <w:szCs w:val="28"/>
        </w:rPr>
        <w:t xml:space="preserve">Permis  de sortie pour les bateaux  chargés  de l’évacuation des grumes des </w:t>
      </w:r>
      <w:r w:rsidR="0060473C" w:rsidRPr="00575F68">
        <w:rPr>
          <w:rFonts w:ascii="Garamond" w:hAnsi="Garamond"/>
          <w:sz w:val="28"/>
          <w:szCs w:val="28"/>
        </w:rPr>
        <w:t>forêts au centre  de traitement;</w:t>
      </w:r>
    </w:p>
    <w:p w:rsidR="00B32D2A" w:rsidRPr="00575F68" w:rsidRDefault="0060473C" w:rsidP="00B32D2A">
      <w:pPr>
        <w:pStyle w:val="Paragraphedeliste"/>
        <w:numPr>
          <w:ilvl w:val="0"/>
          <w:numId w:val="7"/>
        </w:numPr>
        <w:spacing w:after="160" w:line="256" w:lineRule="auto"/>
        <w:jc w:val="both"/>
        <w:rPr>
          <w:rFonts w:ascii="Garamond" w:hAnsi="Garamond"/>
          <w:sz w:val="28"/>
          <w:szCs w:val="28"/>
        </w:rPr>
      </w:pPr>
      <w:r w:rsidRPr="00575F68">
        <w:rPr>
          <w:rFonts w:ascii="Garamond" w:hAnsi="Garamond"/>
          <w:sz w:val="28"/>
          <w:szCs w:val="28"/>
        </w:rPr>
        <w:t xml:space="preserve">Autorisation </w:t>
      </w:r>
      <w:r w:rsidR="00B32D2A" w:rsidRPr="00575F68">
        <w:rPr>
          <w:rFonts w:ascii="Garamond" w:hAnsi="Garamond"/>
          <w:sz w:val="28"/>
          <w:szCs w:val="28"/>
        </w:rPr>
        <w:t>de stockage  des produits  p</w:t>
      </w:r>
      <w:r w:rsidR="00C10000" w:rsidRPr="00575F68">
        <w:rPr>
          <w:rFonts w:ascii="Garamond" w:hAnsi="Garamond"/>
          <w:sz w:val="28"/>
          <w:szCs w:val="28"/>
        </w:rPr>
        <w:t>étroliers</w:t>
      </w:r>
      <w:r w:rsidR="00B32D2A" w:rsidRPr="00575F68">
        <w:rPr>
          <w:rFonts w:ascii="Garamond" w:hAnsi="Garamond"/>
          <w:sz w:val="28"/>
          <w:szCs w:val="28"/>
        </w:rPr>
        <w:t xml:space="preserve">  nécessaires</w:t>
      </w:r>
      <w:r w:rsidRPr="00575F68">
        <w:rPr>
          <w:rFonts w:ascii="Garamond" w:hAnsi="Garamond"/>
          <w:sz w:val="28"/>
          <w:szCs w:val="28"/>
        </w:rPr>
        <w:t xml:space="preserve"> au fonctionnement des machines;</w:t>
      </w:r>
    </w:p>
    <w:p w:rsidR="00B32D2A" w:rsidRPr="00575F68" w:rsidRDefault="0060473C" w:rsidP="00B32D2A">
      <w:pPr>
        <w:pStyle w:val="Paragraphedeliste"/>
        <w:numPr>
          <w:ilvl w:val="0"/>
          <w:numId w:val="7"/>
        </w:numPr>
        <w:spacing w:after="160" w:line="256" w:lineRule="auto"/>
        <w:jc w:val="both"/>
        <w:rPr>
          <w:rFonts w:ascii="Garamond" w:hAnsi="Garamond"/>
          <w:sz w:val="28"/>
          <w:szCs w:val="28"/>
        </w:rPr>
      </w:pPr>
      <w:r w:rsidRPr="00575F68">
        <w:rPr>
          <w:rFonts w:ascii="Garamond" w:hAnsi="Garamond"/>
          <w:sz w:val="28"/>
          <w:szCs w:val="28"/>
        </w:rPr>
        <w:t>Taxe sur d</w:t>
      </w:r>
      <w:r w:rsidR="00B32D2A" w:rsidRPr="00575F68">
        <w:rPr>
          <w:rFonts w:ascii="Garamond" w:hAnsi="Garamond"/>
          <w:sz w:val="28"/>
          <w:szCs w:val="28"/>
        </w:rPr>
        <w:t xml:space="preserve">étention </w:t>
      </w:r>
      <w:r w:rsidR="00C10000" w:rsidRPr="00575F68">
        <w:rPr>
          <w:rFonts w:ascii="Garamond" w:hAnsi="Garamond"/>
          <w:sz w:val="28"/>
          <w:szCs w:val="28"/>
        </w:rPr>
        <w:t xml:space="preserve"> des instruments de mesure</w:t>
      </w:r>
      <w:r w:rsidR="00B32D2A" w:rsidRPr="00575F68">
        <w:rPr>
          <w:rFonts w:ascii="Garamond" w:hAnsi="Garamond"/>
          <w:sz w:val="28"/>
          <w:szCs w:val="28"/>
        </w:rPr>
        <w:t xml:space="preserve"> dans le</w:t>
      </w:r>
      <w:r w:rsidRPr="00575F68">
        <w:rPr>
          <w:rFonts w:ascii="Garamond" w:hAnsi="Garamond"/>
          <w:sz w:val="28"/>
          <w:szCs w:val="28"/>
        </w:rPr>
        <w:t>s chantiers, usines et ateliers;</w:t>
      </w:r>
    </w:p>
    <w:p w:rsidR="00B32D2A" w:rsidRPr="00575F68" w:rsidRDefault="00B32D2A" w:rsidP="00B32D2A">
      <w:pPr>
        <w:pStyle w:val="Paragraphedeliste"/>
        <w:numPr>
          <w:ilvl w:val="0"/>
          <w:numId w:val="7"/>
        </w:numPr>
        <w:spacing w:after="160" w:line="256" w:lineRule="auto"/>
        <w:jc w:val="both"/>
        <w:rPr>
          <w:rFonts w:ascii="Garamond" w:hAnsi="Garamond"/>
          <w:sz w:val="28"/>
          <w:szCs w:val="28"/>
        </w:rPr>
      </w:pPr>
      <w:r w:rsidRPr="00575F68">
        <w:rPr>
          <w:rFonts w:ascii="Garamond" w:hAnsi="Garamond"/>
          <w:sz w:val="28"/>
          <w:szCs w:val="28"/>
        </w:rPr>
        <w:t>Visite annuelle des ports</w:t>
      </w:r>
      <w:r w:rsidR="0060473C" w:rsidRPr="00575F68">
        <w:rPr>
          <w:rFonts w:ascii="Garamond" w:hAnsi="Garamond"/>
          <w:sz w:val="28"/>
          <w:szCs w:val="28"/>
        </w:rPr>
        <w:t>;</w:t>
      </w:r>
    </w:p>
    <w:p w:rsidR="0060473C" w:rsidRPr="00575F68" w:rsidRDefault="0060473C" w:rsidP="00B32D2A">
      <w:pPr>
        <w:pStyle w:val="Paragraphedeliste"/>
        <w:numPr>
          <w:ilvl w:val="0"/>
          <w:numId w:val="7"/>
        </w:numPr>
        <w:spacing w:after="160" w:line="256" w:lineRule="auto"/>
        <w:jc w:val="both"/>
        <w:rPr>
          <w:rFonts w:ascii="Garamond" w:hAnsi="Garamond"/>
          <w:sz w:val="28"/>
          <w:szCs w:val="28"/>
        </w:rPr>
      </w:pPr>
      <w:r w:rsidRPr="00575F68">
        <w:rPr>
          <w:rFonts w:ascii="Garamond" w:hAnsi="Garamond"/>
          <w:sz w:val="28"/>
          <w:szCs w:val="28"/>
        </w:rPr>
        <w:t>Homologation Port/Beach;</w:t>
      </w:r>
    </w:p>
    <w:p w:rsidR="002A08F9" w:rsidRPr="00575F68" w:rsidRDefault="0060473C" w:rsidP="002A08F9">
      <w:pPr>
        <w:pStyle w:val="Paragraphedeliste"/>
        <w:numPr>
          <w:ilvl w:val="0"/>
          <w:numId w:val="7"/>
        </w:numPr>
        <w:spacing w:after="160" w:line="256" w:lineRule="auto"/>
        <w:jc w:val="both"/>
        <w:rPr>
          <w:rFonts w:ascii="Garamond" w:hAnsi="Garamond"/>
          <w:sz w:val="28"/>
          <w:szCs w:val="28"/>
        </w:rPr>
      </w:pPr>
      <w:r w:rsidRPr="00575F68">
        <w:rPr>
          <w:rFonts w:ascii="Garamond" w:hAnsi="Garamond"/>
          <w:sz w:val="28"/>
          <w:szCs w:val="28"/>
        </w:rPr>
        <w:t>Autorisation de transport des biens.</w:t>
      </w:r>
    </w:p>
    <w:p w:rsidR="00774E7E" w:rsidRPr="00575F68" w:rsidRDefault="00774E7E" w:rsidP="002A08F9">
      <w:pPr>
        <w:pStyle w:val="Paragraphedeliste"/>
        <w:spacing w:after="160" w:line="256" w:lineRule="auto"/>
        <w:ind w:left="0"/>
        <w:jc w:val="both"/>
        <w:rPr>
          <w:rFonts w:ascii="Garamond" w:hAnsi="Garamond"/>
          <w:sz w:val="28"/>
          <w:szCs w:val="28"/>
        </w:rPr>
      </w:pPr>
    </w:p>
    <w:p w:rsidR="00575F68" w:rsidRDefault="00575F68" w:rsidP="00575F68">
      <w:pPr>
        <w:pStyle w:val="Paragraphedeliste"/>
        <w:spacing w:after="160" w:line="256" w:lineRule="auto"/>
        <w:ind w:left="0"/>
        <w:jc w:val="both"/>
        <w:rPr>
          <w:rFonts w:ascii="Garamond" w:hAnsi="Garamond"/>
          <w:sz w:val="28"/>
          <w:szCs w:val="28"/>
        </w:rPr>
      </w:pPr>
    </w:p>
    <w:p w:rsidR="00575F68" w:rsidRDefault="00575F68" w:rsidP="00575F68">
      <w:pPr>
        <w:pStyle w:val="Paragraphedeliste"/>
        <w:spacing w:after="160" w:line="256" w:lineRule="auto"/>
        <w:ind w:left="0"/>
        <w:jc w:val="both"/>
        <w:rPr>
          <w:rFonts w:ascii="Garamond" w:hAnsi="Garamond"/>
          <w:sz w:val="28"/>
          <w:szCs w:val="28"/>
        </w:rPr>
      </w:pPr>
    </w:p>
    <w:p w:rsidR="005D75F9" w:rsidRPr="00575F68" w:rsidRDefault="00774E7E" w:rsidP="00575F68">
      <w:pPr>
        <w:pStyle w:val="Paragraphedeliste"/>
        <w:spacing w:after="160" w:line="256" w:lineRule="auto"/>
        <w:ind w:left="0"/>
        <w:jc w:val="both"/>
        <w:rPr>
          <w:rFonts w:ascii="Garamond" w:hAnsi="Garamond"/>
          <w:sz w:val="28"/>
          <w:szCs w:val="28"/>
        </w:rPr>
      </w:pPr>
      <w:r w:rsidRPr="00575F68">
        <w:rPr>
          <w:rFonts w:ascii="Garamond" w:hAnsi="Garamond"/>
          <w:sz w:val="28"/>
          <w:szCs w:val="28"/>
        </w:rPr>
        <w:t>Les problèmes cernés ainsi que les informations complémentaires recueillies lors des ateliers et missions, nous ont poussés à développer une argumentation logique sur la problématique de l'intégration de l'artisanat minier et de la forêt dans les rapports ITIE pour en apprécier</w:t>
      </w:r>
      <w:r w:rsidR="006570B1" w:rsidRPr="00575F68">
        <w:rPr>
          <w:rFonts w:ascii="Garamond" w:hAnsi="Garamond"/>
          <w:sz w:val="28"/>
          <w:szCs w:val="28"/>
        </w:rPr>
        <w:t xml:space="preserve"> l'intérêt, l'opportunité et la faisabilité</w:t>
      </w:r>
      <w:r w:rsidRPr="00575F68">
        <w:rPr>
          <w:rFonts w:ascii="Garamond" w:hAnsi="Garamond"/>
          <w:sz w:val="28"/>
          <w:szCs w:val="28"/>
        </w:rPr>
        <w:t>.</w:t>
      </w:r>
    </w:p>
    <w:p w:rsidR="005D75F9" w:rsidRPr="00575F68" w:rsidRDefault="005D75F9" w:rsidP="00CC2FF4">
      <w:pPr>
        <w:spacing w:after="0"/>
        <w:jc w:val="both"/>
        <w:rPr>
          <w:rFonts w:ascii="Garamond" w:hAnsi="Garamond"/>
          <w:b/>
          <w:color w:val="0070C0"/>
          <w:sz w:val="10"/>
          <w:szCs w:val="28"/>
        </w:rPr>
      </w:pPr>
    </w:p>
    <w:p w:rsidR="007B4696" w:rsidRPr="00575F68" w:rsidRDefault="007B4696" w:rsidP="00CC2FF4">
      <w:pPr>
        <w:spacing w:after="0"/>
        <w:jc w:val="both"/>
        <w:rPr>
          <w:rFonts w:ascii="Garamond" w:hAnsi="Garamond"/>
          <w:b/>
          <w:color w:val="0070C0"/>
          <w:sz w:val="28"/>
          <w:szCs w:val="28"/>
        </w:rPr>
      </w:pPr>
      <w:r w:rsidRPr="00575F68">
        <w:rPr>
          <w:rFonts w:ascii="Garamond" w:hAnsi="Garamond"/>
          <w:b/>
          <w:color w:val="0070C0"/>
          <w:sz w:val="28"/>
          <w:szCs w:val="28"/>
        </w:rPr>
        <w:t>IV. Articulation logique des arguments</w:t>
      </w:r>
    </w:p>
    <w:p w:rsidR="00F349A9" w:rsidRPr="00575F68" w:rsidRDefault="00F349A9" w:rsidP="00CC2FF4">
      <w:pPr>
        <w:spacing w:after="0"/>
        <w:jc w:val="both"/>
        <w:rPr>
          <w:rFonts w:ascii="Garamond" w:hAnsi="Garamond"/>
          <w:b/>
          <w:color w:val="0070C0"/>
          <w:sz w:val="12"/>
          <w:szCs w:val="28"/>
        </w:rPr>
      </w:pPr>
    </w:p>
    <w:p w:rsidR="00502BD1" w:rsidRPr="00575F68" w:rsidRDefault="001F600E" w:rsidP="00CC2FF4">
      <w:pPr>
        <w:spacing w:after="0"/>
        <w:jc w:val="both"/>
        <w:rPr>
          <w:rFonts w:ascii="Garamond" w:hAnsi="Garamond"/>
          <w:sz w:val="28"/>
          <w:szCs w:val="28"/>
        </w:rPr>
      </w:pPr>
      <w:r w:rsidRPr="00575F68">
        <w:rPr>
          <w:rFonts w:ascii="Garamond" w:hAnsi="Garamond"/>
          <w:sz w:val="28"/>
          <w:szCs w:val="28"/>
        </w:rPr>
        <w:t>Les missions sur terrain effectuées dans les</w:t>
      </w:r>
      <w:r w:rsidR="00AA1439" w:rsidRPr="00575F68">
        <w:rPr>
          <w:rFonts w:ascii="Garamond" w:hAnsi="Garamond"/>
          <w:sz w:val="28"/>
          <w:szCs w:val="28"/>
        </w:rPr>
        <w:t xml:space="preserve"> différentes </w:t>
      </w:r>
      <w:r w:rsidRPr="00575F68">
        <w:rPr>
          <w:rFonts w:ascii="Garamond" w:hAnsi="Garamond"/>
          <w:sz w:val="28"/>
          <w:szCs w:val="28"/>
        </w:rPr>
        <w:t xml:space="preserve"> provinces à forte concentration </w:t>
      </w:r>
      <w:r w:rsidR="00DF46FD" w:rsidRPr="00575F68">
        <w:rPr>
          <w:rFonts w:ascii="Garamond" w:hAnsi="Garamond"/>
          <w:sz w:val="28"/>
          <w:szCs w:val="28"/>
        </w:rPr>
        <w:t xml:space="preserve">nous ont, </w:t>
      </w:r>
      <w:r w:rsidR="003241EF" w:rsidRPr="00575F68">
        <w:rPr>
          <w:rFonts w:ascii="Garamond" w:hAnsi="Garamond"/>
          <w:sz w:val="28"/>
          <w:szCs w:val="28"/>
        </w:rPr>
        <w:t>comme nous l'avons dit ci-haut</w:t>
      </w:r>
      <w:r w:rsidR="00DF46FD" w:rsidRPr="00575F68">
        <w:rPr>
          <w:rFonts w:ascii="Garamond" w:hAnsi="Garamond"/>
          <w:sz w:val="28"/>
          <w:szCs w:val="28"/>
        </w:rPr>
        <w:t xml:space="preserve">, </w:t>
      </w:r>
      <w:r w:rsidR="00AA1439" w:rsidRPr="00575F68">
        <w:rPr>
          <w:rFonts w:ascii="Garamond" w:hAnsi="Garamond"/>
          <w:sz w:val="28"/>
          <w:szCs w:val="28"/>
        </w:rPr>
        <w:t>aidés</w:t>
      </w:r>
      <w:r w:rsidR="00DF46FD" w:rsidRPr="00575F68">
        <w:rPr>
          <w:rFonts w:ascii="Garamond" w:hAnsi="Garamond"/>
          <w:sz w:val="28"/>
          <w:szCs w:val="28"/>
        </w:rPr>
        <w:t xml:space="preserve"> à</w:t>
      </w:r>
      <w:r w:rsidRPr="00575F68">
        <w:rPr>
          <w:rFonts w:ascii="Garamond" w:hAnsi="Garamond"/>
          <w:sz w:val="28"/>
          <w:szCs w:val="28"/>
        </w:rPr>
        <w:t xml:space="preserve"> cerner un certain nombre de problèmes</w:t>
      </w:r>
      <w:r w:rsidR="00DF46FD" w:rsidRPr="00575F68">
        <w:rPr>
          <w:rFonts w:ascii="Garamond" w:hAnsi="Garamond"/>
          <w:sz w:val="28"/>
          <w:szCs w:val="28"/>
        </w:rPr>
        <w:t xml:space="preserve"> qui n'ont pas permis d'avoir l'assurance de l'exhaustivité des informations collectées.</w:t>
      </w:r>
    </w:p>
    <w:p w:rsidR="008849F0" w:rsidRPr="00575F68" w:rsidRDefault="00F349A9" w:rsidP="008849F0">
      <w:pPr>
        <w:spacing w:line="240" w:lineRule="auto"/>
        <w:jc w:val="both"/>
        <w:rPr>
          <w:rFonts w:ascii="Garamond" w:hAnsi="Garamond"/>
          <w:sz w:val="28"/>
          <w:szCs w:val="28"/>
        </w:rPr>
      </w:pPr>
      <w:r w:rsidRPr="00575F68">
        <w:rPr>
          <w:rFonts w:ascii="Garamond" w:hAnsi="Garamond"/>
          <w:sz w:val="28"/>
          <w:szCs w:val="28"/>
        </w:rPr>
        <w:t>Parmi c</w:t>
      </w:r>
      <w:r w:rsidR="00502BD1" w:rsidRPr="00575F68">
        <w:rPr>
          <w:rFonts w:ascii="Garamond" w:hAnsi="Garamond"/>
          <w:sz w:val="28"/>
          <w:szCs w:val="28"/>
        </w:rPr>
        <w:t>es problèmes</w:t>
      </w:r>
      <w:r w:rsidRPr="00575F68">
        <w:rPr>
          <w:rFonts w:ascii="Garamond" w:hAnsi="Garamond"/>
          <w:sz w:val="28"/>
          <w:szCs w:val="28"/>
        </w:rPr>
        <w:t xml:space="preserve">,nous </w:t>
      </w:r>
      <w:r w:rsidR="003241EF" w:rsidRPr="00575F68">
        <w:rPr>
          <w:rFonts w:ascii="Garamond" w:hAnsi="Garamond"/>
          <w:sz w:val="28"/>
          <w:szCs w:val="28"/>
        </w:rPr>
        <w:t>a</w:t>
      </w:r>
      <w:r w:rsidRPr="00575F68">
        <w:rPr>
          <w:rFonts w:ascii="Garamond" w:hAnsi="Garamond"/>
          <w:sz w:val="28"/>
          <w:szCs w:val="28"/>
        </w:rPr>
        <w:t>vons</w:t>
      </w:r>
      <w:r w:rsidR="003241EF" w:rsidRPr="00575F68">
        <w:rPr>
          <w:rFonts w:ascii="Garamond" w:hAnsi="Garamond"/>
          <w:sz w:val="28"/>
          <w:szCs w:val="28"/>
        </w:rPr>
        <w:t>cité</w:t>
      </w:r>
      <w:r w:rsidRPr="00575F68">
        <w:rPr>
          <w:rFonts w:ascii="Garamond" w:hAnsi="Garamond"/>
          <w:sz w:val="28"/>
          <w:szCs w:val="28"/>
        </w:rPr>
        <w:t xml:space="preserve"> fondamentalement le problème de l'appropriation effective du processus ITIE par les acteurs </w:t>
      </w:r>
      <w:r w:rsidR="00EC462D" w:rsidRPr="00575F68">
        <w:rPr>
          <w:rFonts w:ascii="Garamond" w:hAnsi="Garamond"/>
          <w:sz w:val="28"/>
          <w:szCs w:val="28"/>
        </w:rPr>
        <w:t>de ces deux secteurs d'une part, et d'autre part, le problème d</w:t>
      </w:r>
      <w:r w:rsidR="008849F0" w:rsidRPr="00575F68">
        <w:rPr>
          <w:rFonts w:ascii="Garamond" w:hAnsi="Garamond"/>
          <w:sz w:val="28"/>
          <w:szCs w:val="28"/>
        </w:rPr>
        <w:t>'archivage ou d'absence d'une base</w:t>
      </w:r>
      <w:r w:rsidR="00EC462D" w:rsidRPr="00575F68">
        <w:rPr>
          <w:rFonts w:ascii="Garamond" w:hAnsi="Garamond"/>
          <w:sz w:val="28"/>
          <w:szCs w:val="28"/>
        </w:rPr>
        <w:t xml:space="preserve"> de données au niveau de différentes Entités de l'Etat </w:t>
      </w:r>
      <w:r w:rsidR="008849F0" w:rsidRPr="00575F68">
        <w:rPr>
          <w:rFonts w:ascii="Garamond" w:hAnsi="Garamond"/>
          <w:sz w:val="28"/>
          <w:szCs w:val="28"/>
        </w:rPr>
        <w:t xml:space="preserve">chargées de recouvrement. </w:t>
      </w:r>
    </w:p>
    <w:p w:rsidR="00502BD1" w:rsidRPr="00575F68" w:rsidRDefault="00EC462D" w:rsidP="00FD596E">
      <w:pPr>
        <w:spacing w:line="240" w:lineRule="auto"/>
        <w:jc w:val="both"/>
        <w:rPr>
          <w:rFonts w:ascii="Garamond" w:hAnsi="Garamond"/>
          <w:sz w:val="28"/>
          <w:szCs w:val="28"/>
        </w:rPr>
      </w:pPr>
      <w:r w:rsidRPr="00575F68">
        <w:rPr>
          <w:rFonts w:ascii="Garamond" w:hAnsi="Garamond"/>
          <w:sz w:val="28"/>
          <w:szCs w:val="28"/>
        </w:rPr>
        <w:t xml:space="preserve">En effet, </w:t>
      </w:r>
      <w:r w:rsidR="006E3B19" w:rsidRPr="00575F68">
        <w:rPr>
          <w:rFonts w:ascii="Garamond" w:hAnsi="Garamond"/>
          <w:sz w:val="28"/>
          <w:szCs w:val="28"/>
        </w:rPr>
        <w:t>comme</w:t>
      </w:r>
      <w:r w:rsidRPr="00575F68">
        <w:rPr>
          <w:rFonts w:ascii="Garamond" w:hAnsi="Garamond"/>
          <w:sz w:val="28"/>
          <w:szCs w:val="28"/>
        </w:rPr>
        <w:t xml:space="preserve"> les parties déclarantes ne </w:t>
      </w:r>
      <w:r w:rsidR="000C4A27" w:rsidRPr="00575F68">
        <w:rPr>
          <w:rFonts w:ascii="Garamond" w:hAnsi="Garamond"/>
          <w:sz w:val="28"/>
          <w:szCs w:val="28"/>
        </w:rPr>
        <w:t>se sont pas encore approprié effectivement le processus</w:t>
      </w:r>
      <w:r w:rsidR="006E3B19" w:rsidRPr="00575F68">
        <w:rPr>
          <w:rFonts w:ascii="Garamond" w:hAnsi="Garamond"/>
          <w:sz w:val="28"/>
          <w:szCs w:val="28"/>
        </w:rPr>
        <w:t>, cela</w:t>
      </w:r>
      <w:r w:rsidR="000C4A27" w:rsidRPr="00575F68">
        <w:rPr>
          <w:rFonts w:ascii="Garamond" w:hAnsi="Garamond"/>
          <w:sz w:val="28"/>
          <w:szCs w:val="28"/>
        </w:rPr>
        <w:t xml:space="preserve"> ne les motivent pas</w:t>
      </w:r>
      <w:r w:rsidR="008849F0" w:rsidRPr="00575F68">
        <w:rPr>
          <w:rFonts w:ascii="Garamond" w:hAnsi="Garamond"/>
          <w:sz w:val="28"/>
          <w:szCs w:val="28"/>
        </w:rPr>
        <w:t xml:space="preserve"> du tout </w:t>
      </w:r>
      <w:r w:rsidR="000C4A27" w:rsidRPr="00575F68">
        <w:rPr>
          <w:rFonts w:ascii="Garamond" w:hAnsi="Garamond"/>
          <w:sz w:val="28"/>
          <w:szCs w:val="28"/>
        </w:rPr>
        <w:t xml:space="preserve"> à s'impliquer outre mesure pour déclarer correctement à l'ITIE. Et même motivées, l'absence d</w:t>
      </w:r>
      <w:r w:rsidR="008849F0" w:rsidRPr="00575F68">
        <w:rPr>
          <w:rFonts w:ascii="Garamond" w:hAnsi="Garamond"/>
          <w:sz w:val="28"/>
          <w:szCs w:val="28"/>
        </w:rPr>
        <w:t>'une base</w:t>
      </w:r>
      <w:r w:rsidR="000C4A27" w:rsidRPr="00575F68">
        <w:rPr>
          <w:rFonts w:ascii="Garamond" w:hAnsi="Garamond"/>
          <w:sz w:val="28"/>
          <w:szCs w:val="28"/>
        </w:rPr>
        <w:t xml:space="preserve"> de données</w:t>
      </w:r>
      <w:r w:rsidR="00873BDF" w:rsidRPr="00575F68">
        <w:rPr>
          <w:rFonts w:ascii="Garamond" w:hAnsi="Garamond"/>
          <w:sz w:val="28"/>
          <w:szCs w:val="28"/>
        </w:rPr>
        <w:t xml:space="preserve"> ne leur permet</w:t>
      </w:r>
      <w:r w:rsidR="006E3B19" w:rsidRPr="00575F68">
        <w:rPr>
          <w:rFonts w:ascii="Garamond" w:hAnsi="Garamond"/>
          <w:sz w:val="28"/>
          <w:szCs w:val="28"/>
        </w:rPr>
        <w:t xml:space="preserve"> pas, non plus, de</w:t>
      </w:r>
      <w:r w:rsidR="000C4A27" w:rsidRPr="00575F68">
        <w:rPr>
          <w:rFonts w:ascii="Garamond" w:hAnsi="Garamond"/>
          <w:sz w:val="28"/>
          <w:szCs w:val="28"/>
        </w:rPr>
        <w:t xml:space="preserve">  fournir les informations</w:t>
      </w:r>
      <w:r w:rsidR="006E3B19" w:rsidRPr="00575F68">
        <w:rPr>
          <w:rFonts w:ascii="Garamond" w:hAnsi="Garamond"/>
          <w:sz w:val="28"/>
          <w:szCs w:val="28"/>
        </w:rPr>
        <w:t xml:space="preserve"> dans les détails requis par le processus de conciliation conformément à la Norme ITIE.</w:t>
      </w:r>
    </w:p>
    <w:p w:rsidR="00754B22" w:rsidRPr="00575F68" w:rsidRDefault="00FD596E" w:rsidP="008849F0">
      <w:pPr>
        <w:spacing w:after="0"/>
        <w:jc w:val="both"/>
        <w:rPr>
          <w:rFonts w:ascii="Garamond" w:hAnsi="Garamond"/>
          <w:sz w:val="28"/>
          <w:szCs w:val="28"/>
        </w:rPr>
      </w:pPr>
      <w:r w:rsidRPr="00575F68">
        <w:rPr>
          <w:rFonts w:ascii="Garamond" w:hAnsi="Garamond"/>
          <w:sz w:val="28"/>
          <w:szCs w:val="28"/>
        </w:rPr>
        <w:t>L</w:t>
      </w:r>
      <w:r w:rsidR="00502BD1" w:rsidRPr="00575F68">
        <w:rPr>
          <w:rFonts w:ascii="Garamond" w:hAnsi="Garamond"/>
          <w:sz w:val="28"/>
          <w:szCs w:val="28"/>
        </w:rPr>
        <w:t>e</w:t>
      </w:r>
      <w:r w:rsidRPr="00575F68">
        <w:rPr>
          <w:rFonts w:ascii="Garamond" w:hAnsi="Garamond"/>
          <w:sz w:val="28"/>
          <w:szCs w:val="28"/>
        </w:rPr>
        <w:t xml:space="preserve"> problème d'archivage ou de conservation de l'information est</w:t>
      </w:r>
      <w:r w:rsidR="00C52F5F" w:rsidRPr="00575F68">
        <w:rPr>
          <w:rFonts w:ascii="Garamond" w:hAnsi="Garamond"/>
          <w:sz w:val="28"/>
          <w:szCs w:val="28"/>
        </w:rPr>
        <w:t xml:space="preserve"> lui-même</w:t>
      </w:r>
      <w:r w:rsidRPr="00575F68">
        <w:rPr>
          <w:rFonts w:ascii="Garamond" w:hAnsi="Garamond"/>
          <w:sz w:val="28"/>
          <w:szCs w:val="28"/>
        </w:rPr>
        <w:t xml:space="preserve"> dû à un </w:t>
      </w:r>
      <w:r w:rsidR="00502BD1" w:rsidRPr="00575F68">
        <w:rPr>
          <w:rFonts w:ascii="Garamond" w:hAnsi="Garamond"/>
          <w:sz w:val="28"/>
          <w:szCs w:val="28"/>
        </w:rPr>
        <w:t xml:space="preserve"> travail encore</w:t>
      </w:r>
      <w:r w:rsidRPr="00575F68">
        <w:rPr>
          <w:rFonts w:ascii="Garamond" w:hAnsi="Garamond"/>
          <w:sz w:val="28"/>
          <w:szCs w:val="28"/>
        </w:rPr>
        <w:t xml:space="preserve"> manuel</w:t>
      </w:r>
      <w:r w:rsidR="00C52F5F" w:rsidRPr="00575F68">
        <w:rPr>
          <w:rFonts w:ascii="Garamond" w:hAnsi="Garamond"/>
          <w:sz w:val="28"/>
          <w:szCs w:val="28"/>
        </w:rPr>
        <w:t xml:space="preserve">dans </w:t>
      </w:r>
      <w:r w:rsidR="00502BD1" w:rsidRPr="00575F68">
        <w:rPr>
          <w:rFonts w:ascii="Garamond" w:hAnsi="Garamond"/>
          <w:sz w:val="28"/>
          <w:szCs w:val="28"/>
        </w:rPr>
        <w:t xml:space="preserve"> la plupart </w:t>
      </w:r>
      <w:r w:rsidRPr="00575F68">
        <w:rPr>
          <w:rFonts w:ascii="Garamond" w:hAnsi="Garamond"/>
          <w:sz w:val="28"/>
          <w:szCs w:val="28"/>
        </w:rPr>
        <w:t>des cas</w:t>
      </w:r>
      <w:r w:rsidR="00502BD1" w:rsidRPr="00575F68">
        <w:rPr>
          <w:rFonts w:ascii="Garamond" w:hAnsi="Garamond"/>
          <w:sz w:val="28"/>
          <w:szCs w:val="28"/>
        </w:rPr>
        <w:t>,</w:t>
      </w:r>
      <w:r w:rsidR="00C52F5F" w:rsidRPr="00575F68">
        <w:rPr>
          <w:rFonts w:ascii="Garamond" w:hAnsi="Garamond"/>
          <w:sz w:val="28"/>
          <w:szCs w:val="28"/>
        </w:rPr>
        <w:t xml:space="preserve"> et à une forte</w:t>
      </w:r>
      <w:r w:rsidR="007C7BEA" w:rsidRPr="00575F68">
        <w:rPr>
          <w:rFonts w:ascii="Garamond" w:hAnsi="Garamond"/>
          <w:sz w:val="28"/>
          <w:szCs w:val="28"/>
        </w:rPr>
        <w:t xml:space="preserve"> mobilité des agents qui a fai</w:t>
      </w:r>
      <w:r w:rsidR="00C52F5F" w:rsidRPr="00575F68">
        <w:rPr>
          <w:rFonts w:ascii="Garamond" w:hAnsi="Garamond"/>
          <w:sz w:val="28"/>
          <w:szCs w:val="28"/>
        </w:rPr>
        <w:t>t que les agents en postes n’avaient pas  la tâche facile de se retrouver dans les paperasse</w:t>
      </w:r>
      <w:r w:rsidR="00442579" w:rsidRPr="00575F68">
        <w:rPr>
          <w:rFonts w:ascii="Garamond" w:hAnsi="Garamond"/>
          <w:sz w:val="28"/>
          <w:szCs w:val="28"/>
        </w:rPr>
        <w:t>s laissées par leurs prédécesseurs</w:t>
      </w:r>
      <w:r w:rsidR="00C52F5F" w:rsidRPr="00575F68">
        <w:rPr>
          <w:rFonts w:ascii="Garamond" w:hAnsi="Garamond"/>
          <w:sz w:val="28"/>
          <w:szCs w:val="28"/>
        </w:rPr>
        <w:t xml:space="preserve"> pour réunir</w:t>
      </w:r>
      <w:r w:rsidR="00442579" w:rsidRPr="00575F68">
        <w:rPr>
          <w:rFonts w:ascii="Garamond" w:hAnsi="Garamond"/>
          <w:sz w:val="28"/>
          <w:szCs w:val="28"/>
        </w:rPr>
        <w:t xml:space="preserve"> toutes </w:t>
      </w:r>
      <w:r w:rsidR="00C52F5F" w:rsidRPr="00575F68">
        <w:rPr>
          <w:rFonts w:ascii="Garamond" w:hAnsi="Garamond"/>
          <w:sz w:val="28"/>
          <w:szCs w:val="28"/>
        </w:rPr>
        <w:t xml:space="preserve"> les informations</w:t>
      </w:r>
      <w:r w:rsidR="00442579" w:rsidRPr="00575F68">
        <w:rPr>
          <w:rFonts w:ascii="Garamond" w:hAnsi="Garamond"/>
          <w:sz w:val="28"/>
          <w:szCs w:val="28"/>
        </w:rPr>
        <w:t xml:space="preserve">. </w:t>
      </w:r>
      <w:r w:rsidR="007F680F" w:rsidRPr="00575F68">
        <w:rPr>
          <w:rFonts w:ascii="Garamond" w:hAnsi="Garamond"/>
          <w:sz w:val="28"/>
          <w:szCs w:val="28"/>
        </w:rPr>
        <w:t>Ce problème de mobilité s'est davantage amplifié avec le découpage des provinces</w:t>
      </w:r>
      <w:r w:rsidR="006A44D5" w:rsidRPr="00575F68">
        <w:rPr>
          <w:rFonts w:ascii="Garamond" w:hAnsi="Garamond"/>
          <w:sz w:val="28"/>
          <w:szCs w:val="28"/>
        </w:rPr>
        <w:t xml:space="preserve"> qui a été à la base de nouvelles mises en place</w:t>
      </w:r>
      <w:r w:rsidR="00685311" w:rsidRPr="00575F68">
        <w:rPr>
          <w:rFonts w:ascii="Garamond" w:hAnsi="Garamond"/>
          <w:sz w:val="28"/>
          <w:szCs w:val="28"/>
        </w:rPr>
        <w:t>. C'est le cas illustratif de la Brigade des Recettes de Bandundu (BRB), devenue Régie Financière du Kwilu (RFIK) où, lors de notre passage, l</w:t>
      </w:r>
      <w:r w:rsidR="00754B22" w:rsidRPr="00575F68">
        <w:rPr>
          <w:rFonts w:ascii="Garamond" w:hAnsi="Garamond"/>
          <w:sz w:val="28"/>
          <w:szCs w:val="28"/>
        </w:rPr>
        <w:t>es</w:t>
      </w:r>
      <w:r w:rsidR="00685311" w:rsidRPr="00575F68">
        <w:rPr>
          <w:rFonts w:ascii="Garamond" w:hAnsi="Garamond"/>
          <w:sz w:val="28"/>
          <w:szCs w:val="28"/>
        </w:rPr>
        <w:t xml:space="preserve"> nouveaux</w:t>
      </w:r>
      <w:r w:rsidR="00754B22" w:rsidRPr="00575F68">
        <w:rPr>
          <w:rFonts w:ascii="Garamond" w:hAnsi="Garamond"/>
          <w:sz w:val="28"/>
          <w:szCs w:val="28"/>
        </w:rPr>
        <w:t xml:space="preserve"> gestionnaires </w:t>
      </w:r>
      <w:r w:rsidR="00685311" w:rsidRPr="00575F68">
        <w:rPr>
          <w:rFonts w:ascii="Garamond" w:hAnsi="Garamond"/>
          <w:sz w:val="28"/>
          <w:szCs w:val="28"/>
        </w:rPr>
        <w:t>n’avaie</w:t>
      </w:r>
      <w:r w:rsidR="00754B22" w:rsidRPr="00575F68">
        <w:rPr>
          <w:rFonts w:ascii="Garamond" w:hAnsi="Garamond"/>
          <w:sz w:val="28"/>
          <w:szCs w:val="28"/>
        </w:rPr>
        <w:t>nt pas</w:t>
      </w:r>
      <w:r w:rsidR="00685311" w:rsidRPr="00575F68">
        <w:rPr>
          <w:rFonts w:ascii="Garamond" w:hAnsi="Garamond"/>
          <w:sz w:val="28"/>
          <w:szCs w:val="28"/>
        </w:rPr>
        <w:t xml:space="preserve"> encore</w:t>
      </w:r>
      <w:r w:rsidR="00754B22" w:rsidRPr="00575F68">
        <w:rPr>
          <w:rFonts w:ascii="Garamond" w:hAnsi="Garamond"/>
          <w:sz w:val="28"/>
          <w:szCs w:val="28"/>
        </w:rPr>
        <w:t xml:space="preserve"> accès à la documentation </w:t>
      </w:r>
      <w:r w:rsidR="00685311" w:rsidRPr="00575F68">
        <w:rPr>
          <w:rFonts w:ascii="Garamond" w:hAnsi="Garamond"/>
          <w:sz w:val="28"/>
          <w:szCs w:val="28"/>
        </w:rPr>
        <w:t>pour nous fournir des informations.</w:t>
      </w:r>
    </w:p>
    <w:p w:rsidR="001A6376" w:rsidRPr="00575F68" w:rsidRDefault="001A6376" w:rsidP="008849F0">
      <w:pPr>
        <w:spacing w:after="0"/>
        <w:jc w:val="both"/>
        <w:rPr>
          <w:rFonts w:ascii="Garamond" w:hAnsi="Garamond"/>
          <w:sz w:val="16"/>
          <w:szCs w:val="28"/>
        </w:rPr>
      </w:pPr>
    </w:p>
    <w:p w:rsidR="00502BD1" w:rsidRPr="00575F68" w:rsidRDefault="00502BD1" w:rsidP="00CC2FF4">
      <w:pPr>
        <w:spacing w:after="0"/>
        <w:jc w:val="both"/>
        <w:rPr>
          <w:rFonts w:ascii="Garamond" w:hAnsi="Garamond"/>
          <w:b/>
          <w:color w:val="0070C0"/>
          <w:sz w:val="2"/>
          <w:szCs w:val="28"/>
        </w:rPr>
      </w:pPr>
    </w:p>
    <w:p w:rsidR="007B4696" w:rsidRPr="00575F68" w:rsidRDefault="007B4696" w:rsidP="006D6EEE">
      <w:pPr>
        <w:jc w:val="both"/>
        <w:rPr>
          <w:rFonts w:ascii="Garamond" w:hAnsi="Garamond"/>
          <w:b/>
          <w:color w:val="0070C0"/>
          <w:sz w:val="28"/>
          <w:szCs w:val="28"/>
        </w:rPr>
      </w:pPr>
      <w:r w:rsidRPr="00575F68">
        <w:rPr>
          <w:rFonts w:ascii="Garamond" w:hAnsi="Garamond"/>
          <w:b/>
          <w:color w:val="0070C0"/>
          <w:sz w:val="28"/>
          <w:szCs w:val="28"/>
        </w:rPr>
        <w:t>V. Conclusion</w:t>
      </w:r>
      <w:r w:rsidR="00D71049" w:rsidRPr="00575F68">
        <w:rPr>
          <w:rFonts w:ascii="Garamond" w:hAnsi="Garamond"/>
          <w:b/>
          <w:color w:val="0070C0"/>
          <w:sz w:val="28"/>
          <w:szCs w:val="28"/>
        </w:rPr>
        <w:t xml:space="preserve"> et recommandations</w:t>
      </w:r>
    </w:p>
    <w:p w:rsidR="00575F68" w:rsidRPr="00575F68" w:rsidRDefault="00510B51" w:rsidP="006D6EEE">
      <w:pPr>
        <w:jc w:val="both"/>
        <w:rPr>
          <w:rFonts w:ascii="Garamond" w:hAnsi="Garamond"/>
          <w:color w:val="000000" w:themeColor="text1"/>
          <w:sz w:val="28"/>
          <w:szCs w:val="28"/>
        </w:rPr>
      </w:pPr>
      <w:r w:rsidRPr="00575F68">
        <w:rPr>
          <w:rFonts w:ascii="Garamond" w:hAnsi="Garamond"/>
          <w:color w:val="000000" w:themeColor="text1"/>
          <w:sz w:val="28"/>
          <w:szCs w:val="28"/>
        </w:rPr>
        <w:t>Il est vrai</w:t>
      </w:r>
      <w:r w:rsidR="003646E4" w:rsidRPr="00575F68">
        <w:rPr>
          <w:rFonts w:ascii="Garamond" w:hAnsi="Garamond"/>
          <w:color w:val="000000" w:themeColor="text1"/>
          <w:sz w:val="28"/>
          <w:szCs w:val="28"/>
        </w:rPr>
        <w:t xml:space="preserve"> que l'intégration du secteur minier artisanal et du secteur forestier dans les rapports ITIE</w:t>
      </w:r>
      <w:r w:rsidR="00A14A80" w:rsidRPr="00575F68">
        <w:rPr>
          <w:rFonts w:ascii="Garamond" w:hAnsi="Garamond"/>
          <w:color w:val="000000" w:themeColor="text1"/>
          <w:sz w:val="28"/>
          <w:szCs w:val="28"/>
        </w:rPr>
        <w:t xml:space="preserve"> pourrait </w:t>
      </w:r>
      <w:r w:rsidR="00A14A80" w:rsidRPr="00575F68">
        <w:rPr>
          <w:rFonts w:ascii="Garamond" w:hAnsi="Garamond"/>
          <w:sz w:val="28"/>
          <w:szCs w:val="28"/>
        </w:rPr>
        <w:t xml:space="preserve"> aider à y instaurer la transparence et la bonne gouvernance, et donc, à accroitre progressivement les revenus de l'Etat. Et là, il y a intérêt pour les Communautés locales de connaître les revenus générés par ces secteurs et d'en débattre.</w:t>
      </w:r>
    </w:p>
    <w:p w:rsidR="00575F68" w:rsidRDefault="00A14A80" w:rsidP="006D6EEE">
      <w:pPr>
        <w:jc w:val="both"/>
        <w:rPr>
          <w:rFonts w:ascii="Garamond" w:hAnsi="Garamond"/>
          <w:sz w:val="28"/>
          <w:szCs w:val="28"/>
        </w:rPr>
      </w:pPr>
      <w:r w:rsidRPr="00575F68">
        <w:rPr>
          <w:rFonts w:ascii="Garamond" w:hAnsi="Garamond"/>
          <w:sz w:val="28"/>
          <w:szCs w:val="28"/>
        </w:rPr>
        <w:t>Mais, il est aussi vrai qu'a</w:t>
      </w:r>
      <w:r w:rsidR="005E4FB4" w:rsidRPr="00575F68">
        <w:rPr>
          <w:rFonts w:ascii="Garamond" w:hAnsi="Garamond"/>
          <w:sz w:val="28"/>
          <w:szCs w:val="28"/>
        </w:rPr>
        <w:t>u stade actuel, avec tous les problèmes évoqués ci-dessus (</w:t>
      </w:r>
      <w:r w:rsidR="00B36ACE" w:rsidRPr="00575F68">
        <w:rPr>
          <w:rFonts w:ascii="Garamond" w:hAnsi="Garamond"/>
          <w:sz w:val="28"/>
          <w:szCs w:val="28"/>
        </w:rPr>
        <w:t>l'</w:t>
      </w:r>
      <w:r w:rsidR="005E4FB4" w:rsidRPr="00575F68">
        <w:rPr>
          <w:rFonts w:ascii="Garamond" w:hAnsi="Garamond"/>
          <w:sz w:val="28"/>
          <w:szCs w:val="28"/>
        </w:rPr>
        <w:t xml:space="preserve">absence de bases de données, </w:t>
      </w:r>
      <w:r w:rsidR="00B36ACE" w:rsidRPr="00575F68">
        <w:rPr>
          <w:rFonts w:ascii="Garamond" w:hAnsi="Garamond"/>
          <w:sz w:val="28"/>
          <w:szCs w:val="28"/>
        </w:rPr>
        <w:t xml:space="preserve">la </w:t>
      </w:r>
      <w:r w:rsidR="005E4FB4" w:rsidRPr="00575F68">
        <w:rPr>
          <w:rFonts w:ascii="Garamond" w:hAnsi="Garamond"/>
          <w:sz w:val="28"/>
          <w:szCs w:val="28"/>
        </w:rPr>
        <w:t>mobilités des agents dans les D</w:t>
      </w:r>
      <w:r w:rsidR="00B36ACE" w:rsidRPr="00575F68">
        <w:rPr>
          <w:rFonts w:ascii="Garamond" w:hAnsi="Garamond"/>
          <w:sz w:val="28"/>
          <w:szCs w:val="28"/>
        </w:rPr>
        <w:t xml:space="preserve">irections des </w:t>
      </w:r>
    </w:p>
    <w:p w:rsidR="00575F68" w:rsidRDefault="00575F68" w:rsidP="006D6EEE">
      <w:pPr>
        <w:jc w:val="both"/>
        <w:rPr>
          <w:rFonts w:ascii="Garamond" w:hAnsi="Garamond"/>
          <w:sz w:val="28"/>
          <w:szCs w:val="28"/>
        </w:rPr>
      </w:pPr>
    </w:p>
    <w:p w:rsidR="005E4FB4" w:rsidRPr="00575F68" w:rsidRDefault="005E4FB4" w:rsidP="006D6EEE">
      <w:pPr>
        <w:jc w:val="both"/>
        <w:rPr>
          <w:rFonts w:ascii="Garamond" w:hAnsi="Garamond"/>
          <w:sz w:val="28"/>
          <w:szCs w:val="28"/>
        </w:rPr>
      </w:pPr>
      <w:r w:rsidRPr="00575F68">
        <w:rPr>
          <w:rFonts w:ascii="Garamond" w:hAnsi="Garamond"/>
          <w:sz w:val="28"/>
          <w:szCs w:val="28"/>
        </w:rPr>
        <w:t>R</w:t>
      </w:r>
      <w:r w:rsidR="00B36ACE" w:rsidRPr="00575F68">
        <w:rPr>
          <w:rFonts w:ascii="Garamond" w:hAnsi="Garamond"/>
          <w:sz w:val="28"/>
          <w:szCs w:val="28"/>
        </w:rPr>
        <w:t xml:space="preserve">ecettes </w:t>
      </w:r>
      <w:r w:rsidRPr="00575F68">
        <w:rPr>
          <w:rFonts w:ascii="Garamond" w:hAnsi="Garamond"/>
          <w:sz w:val="28"/>
          <w:szCs w:val="28"/>
        </w:rPr>
        <w:t>P</w:t>
      </w:r>
      <w:r w:rsidR="00B36ACE" w:rsidRPr="00575F68">
        <w:rPr>
          <w:rFonts w:ascii="Garamond" w:hAnsi="Garamond"/>
          <w:sz w:val="28"/>
          <w:szCs w:val="28"/>
        </w:rPr>
        <w:t>rovinciales</w:t>
      </w:r>
      <w:r w:rsidRPr="00575F68">
        <w:rPr>
          <w:rFonts w:ascii="Garamond" w:hAnsi="Garamond"/>
          <w:sz w:val="28"/>
          <w:szCs w:val="28"/>
        </w:rPr>
        <w:t xml:space="preserve">, l'exploitation informelle, </w:t>
      </w:r>
      <w:r w:rsidR="00B36ACE" w:rsidRPr="00575F68">
        <w:rPr>
          <w:rFonts w:ascii="Garamond" w:hAnsi="Garamond"/>
          <w:sz w:val="28"/>
          <w:szCs w:val="28"/>
        </w:rPr>
        <w:t>l'</w:t>
      </w:r>
      <w:r w:rsidRPr="00575F68">
        <w:rPr>
          <w:rFonts w:ascii="Garamond" w:hAnsi="Garamond"/>
          <w:sz w:val="28"/>
          <w:szCs w:val="28"/>
        </w:rPr>
        <w:t>absence de l'Etat dans certaines zones d'exploitation</w:t>
      </w:r>
      <w:r w:rsidR="007633EB" w:rsidRPr="00575F68">
        <w:rPr>
          <w:rFonts w:ascii="Garamond" w:hAnsi="Garamond"/>
          <w:sz w:val="28"/>
          <w:szCs w:val="28"/>
        </w:rPr>
        <w:t xml:space="preserve">, la non appropriation </w:t>
      </w:r>
      <w:r w:rsidR="00B36ACE" w:rsidRPr="00575F68">
        <w:rPr>
          <w:rFonts w:ascii="Garamond" w:hAnsi="Garamond"/>
          <w:sz w:val="28"/>
          <w:szCs w:val="28"/>
        </w:rPr>
        <w:t xml:space="preserve">effective </w:t>
      </w:r>
      <w:r w:rsidR="007633EB" w:rsidRPr="00575F68">
        <w:rPr>
          <w:rFonts w:ascii="Garamond" w:hAnsi="Garamond"/>
          <w:sz w:val="28"/>
          <w:szCs w:val="28"/>
        </w:rPr>
        <w:t>du processus ITIE</w:t>
      </w:r>
      <w:r w:rsidR="00B36ACE" w:rsidRPr="00575F68">
        <w:rPr>
          <w:rFonts w:ascii="Garamond" w:hAnsi="Garamond"/>
          <w:sz w:val="28"/>
          <w:szCs w:val="28"/>
        </w:rPr>
        <w:t xml:space="preserve"> par les acteurs</w:t>
      </w:r>
      <w:r w:rsidR="007633EB" w:rsidRPr="00575F68">
        <w:rPr>
          <w:rFonts w:ascii="Garamond" w:hAnsi="Garamond"/>
          <w:sz w:val="28"/>
          <w:szCs w:val="28"/>
        </w:rPr>
        <w:t>),</w:t>
      </w:r>
      <w:r w:rsidR="00D51EED" w:rsidRPr="00575F68">
        <w:rPr>
          <w:rFonts w:ascii="Garamond" w:hAnsi="Garamond"/>
          <w:sz w:val="28"/>
          <w:szCs w:val="28"/>
        </w:rPr>
        <w:t>l'exploitation minière artisanale et forestière offre une opportunité relativement petite pour être intégréedans le</w:t>
      </w:r>
      <w:r w:rsidR="00B36ACE" w:rsidRPr="00575F68">
        <w:rPr>
          <w:rFonts w:ascii="Garamond" w:hAnsi="Garamond"/>
          <w:sz w:val="28"/>
          <w:szCs w:val="28"/>
        </w:rPr>
        <w:t xml:space="preserve">s rapports </w:t>
      </w:r>
      <w:r w:rsidR="00D51EED" w:rsidRPr="00575F68">
        <w:rPr>
          <w:rFonts w:ascii="Garamond" w:hAnsi="Garamond"/>
          <w:sz w:val="28"/>
          <w:szCs w:val="28"/>
        </w:rPr>
        <w:t>ITIE. Cette intégration soulève également la question de faisabilité économique du point de vue des coûts qu'elle implique par rapport au</w:t>
      </w:r>
      <w:r w:rsidR="00D474F6" w:rsidRPr="00575F68">
        <w:rPr>
          <w:rFonts w:ascii="Garamond" w:hAnsi="Garamond"/>
          <w:sz w:val="28"/>
          <w:szCs w:val="28"/>
        </w:rPr>
        <w:t>xrecettes de l'Etat,</w:t>
      </w:r>
      <w:r w:rsidR="00D51EED" w:rsidRPr="00575F68">
        <w:rPr>
          <w:rFonts w:ascii="Garamond" w:hAnsi="Garamond"/>
          <w:sz w:val="28"/>
          <w:szCs w:val="28"/>
        </w:rPr>
        <w:t xml:space="preserve"> tout à fait marginal</w:t>
      </w:r>
      <w:r w:rsidR="00333C70" w:rsidRPr="00575F68">
        <w:rPr>
          <w:rFonts w:ascii="Garamond" w:hAnsi="Garamond"/>
          <w:sz w:val="28"/>
          <w:szCs w:val="28"/>
        </w:rPr>
        <w:t>es, qui s</w:t>
      </w:r>
      <w:r w:rsidR="00D474F6" w:rsidRPr="00575F68">
        <w:rPr>
          <w:rFonts w:ascii="Garamond" w:hAnsi="Garamond"/>
          <w:sz w:val="28"/>
          <w:szCs w:val="28"/>
        </w:rPr>
        <w:t>ont collectées.</w:t>
      </w:r>
    </w:p>
    <w:p w:rsidR="005D75F9" w:rsidRPr="00575F68" w:rsidRDefault="00B36ACE" w:rsidP="00575F68">
      <w:pPr>
        <w:jc w:val="both"/>
        <w:rPr>
          <w:rFonts w:ascii="Garamond" w:hAnsi="Garamond"/>
          <w:sz w:val="28"/>
          <w:szCs w:val="28"/>
        </w:rPr>
      </w:pPr>
      <w:r w:rsidRPr="00575F68">
        <w:rPr>
          <w:rFonts w:ascii="Garamond" w:hAnsi="Garamond"/>
          <w:sz w:val="28"/>
          <w:szCs w:val="28"/>
        </w:rPr>
        <w:t>Nous pensons, pour ce faire, que l</w:t>
      </w:r>
      <w:r w:rsidR="00515CE3" w:rsidRPr="00575F68">
        <w:rPr>
          <w:rFonts w:ascii="Garamond" w:hAnsi="Garamond"/>
          <w:sz w:val="28"/>
          <w:szCs w:val="28"/>
        </w:rPr>
        <w:t xml:space="preserve">e temps pour encourager les parties prenantes à soutenir l'intégration et contribuer à sa mise en </w:t>
      </w:r>
      <w:r w:rsidRPr="00575F68">
        <w:rPr>
          <w:rFonts w:ascii="Garamond" w:hAnsi="Garamond"/>
          <w:sz w:val="28"/>
          <w:szCs w:val="28"/>
        </w:rPr>
        <w:t>œuvre</w:t>
      </w:r>
      <w:r w:rsidR="00515CE3" w:rsidRPr="00575F68">
        <w:rPr>
          <w:rFonts w:ascii="Garamond" w:hAnsi="Garamond"/>
          <w:sz w:val="28"/>
          <w:szCs w:val="28"/>
        </w:rPr>
        <w:t xml:space="preserve"> efficace est </w:t>
      </w:r>
      <w:r w:rsidRPr="00575F68">
        <w:rPr>
          <w:rFonts w:ascii="Garamond" w:hAnsi="Garamond"/>
          <w:sz w:val="28"/>
          <w:szCs w:val="28"/>
        </w:rPr>
        <w:t>fort déterminant</w:t>
      </w:r>
      <w:r w:rsidR="00515CE3" w:rsidRPr="00575F68">
        <w:rPr>
          <w:rFonts w:ascii="Garamond" w:hAnsi="Garamond"/>
          <w:sz w:val="28"/>
          <w:szCs w:val="28"/>
        </w:rPr>
        <w:t xml:space="preserve"> pour la réussite ou l'échec de toute tentative visant à intégrer l'artisanat minier et la forêt dans </w:t>
      </w:r>
      <w:r w:rsidRPr="00575F68">
        <w:rPr>
          <w:rFonts w:ascii="Garamond" w:hAnsi="Garamond"/>
          <w:sz w:val="28"/>
          <w:szCs w:val="28"/>
        </w:rPr>
        <w:t>les rapports</w:t>
      </w:r>
      <w:r w:rsidR="00515CE3" w:rsidRPr="00575F68">
        <w:rPr>
          <w:rFonts w:ascii="Garamond" w:hAnsi="Garamond"/>
          <w:sz w:val="28"/>
          <w:szCs w:val="28"/>
        </w:rPr>
        <w:t xml:space="preserve"> ITIE</w:t>
      </w:r>
      <w:r w:rsidR="00D71049" w:rsidRPr="00575F68">
        <w:rPr>
          <w:rFonts w:ascii="Garamond" w:hAnsi="Garamond"/>
          <w:sz w:val="28"/>
          <w:szCs w:val="28"/>
        </w:rPr>
        <w:t>.</w:t>
      </w:r>
    </w:p>
    <w:p w:rsidR="001400AE" w:rsidRPr="00575F68" w:rsidRDefault="00D71049" w:rsidP="001400AE">
      <w:pPr>
        <w:rPr>
          <w:rFonts w:ascii="Garamond" w:hAnsi="Garamond"/>
          <w:sz w:val="28"/>
          <w:szCs w:val="28"/>
        </w:rPr>
      </w:pPr>
      <w:r w:rsidRPr="00575F68">
        <w:rPr>
          <w:rFonts w:ascii="Garamond" w:hAnsi="Garamond"/>
          <w:sz w:val="28"/>
          <w:szCs w:val="28"/>
        </w:rPr>
        <w:t>Ainsi,</w:t>
      </w:r>
      <w:r w:rsidR="007A156A" w:rsidRPr="00575F68">
        <w:rPr>
          <w:rFonts w:ascii="Garamond" w:hAnsi="Garamond"/>
          <w:sz w:val="28"/>
          <w:szCs w:val="28"/>
        </w:rPr>
        <w:t>a</w:t>
      </w:r>
      <w:r w:rsidR="001400AE" w:rsidRPr="00575F68">
        <w:rPr>
          <w:rFonts w:ascii="Garamond" w:hAnsi="Garamond"/>
          <w:sz w:val="28"/>
          <w:szCs w:val="28"/>
        </w:rPr>
        <w:t xml:space="preserve">près analyse minutieuse de différents </w:t>
      </w:r>
      <w:r w:rsidR="007A156A" w:rsidRPr="00575F68">
        <w:rPr>
          <w:rFonts w:ascii="Garamond" w:hAnsi="Garamond"/>
          <w:sz w:val="28"/>
          <w:szCs w:val="28"/>
        </w:rPr>
        <w:t>problèmes soulevés ci-haut et des</w:t>
      </w:r>
      <w:r w:rsidR="001400AE" w:rsidRPr="00575F68">
        <w:rPr>
          <w:rFonts w:ascii="Garamond" w:hAnsi="Garamond"/>
          <w:sz w:val="28"/>
          <w:szCs w:val="28"/>
        </w:rPr>
        <w:t xml:space="preserve"> résultat</w:t>
      </w:r>
      <w:r w:rsidR="007A156A" w:rsidRPr="00575F68">
        <w:rPr>
          <w:rFonts w:ascii="Garamond" w:hAnsi="Garamond"/>
          <w:sz w:val="28"/>
          <w:szCs w:val="28"/>
        </w:rPr>
        <w:t>s</w:t>
      </w:r>
      <w:r w:rsidR="001400AE" w:rsidRPr="00575F68">
        <w:rPr>
          <w:rFonts w:ascii="Garamond" w:hAnsi="Garamond"/>
          <w:sz w:val="28"/>
          <w:szCs w:val="28"/>
        </w:rPr>
        <w:t xml:space="preserve"> obtenu</w:t>
      </w:r>
      <w:r w:rsidR="007A156A" w:rsidRPr="00575F68">
        <w:rPr>
          <w:rFonts w:ascii="Garamond" w:hAnsi="Garamond"/>
          <w:sz w:val="28"/>
          <w:szCs w:val="28"/>
        </w:rPr>
        <w:t>s à l'issue de la campagne de sensibilisation</w:t>
      </w:r>
      <w:r w:rsidR="001400AE" w:rsidRPr="00575F68">
        <w:rPr>
          <w:rFonts w:ascii="Garamond" w:hAnsi="Garamond"/>
          <w:sz w:val="28"/>
          <w:szCs w:val="28"/>
        </w:rPr>
        <w:t>, nous recommandons</w:t>
      </w:r>
      <w:r w:rsidR="007A156A" w:rsidRPr="00575F68">
        <w:rPr>
          <w:rFonts w:ascii="Garamond" w:hAnsi="Garamond"/>
          <w:sz w:val="28"/>
          <w:szCs w:val="28"/>
        </w:rPr>
        <w:t>:</w:t>
      </w:r>
    </w:p>
    <w:p w:rsidR="001400AE" w:rsidRPr="00575F68" w:rsidRDefault="001400AE" w:rsidP="001A6376">
      <w:pPr>
        <w:jc w:val="both"/>
        <w:rPr>
          <w:rFonts w:ascii="Calibri" w:eastAsia="Times New Roman" w:hAnsi="Calibri" w:cs="Times New Roman"/>
          <w:b/>
          <w:bCs/>
          <w:color w:val="000000"/>
          <w:sz w:val="28"/>
          <w:szCs w:val="28"/>
        </w:rPr>
      </w:pPr>
      <w:r w:rsidRPr="00575F68">
        <w:rPr>
          <w:rFonts w:ascii="Garamond" w:hAnsi="Garamond"/>
          <w:sz w:val="28"/>
          <w:szCs w:val="28"/>
        </w:rPr>
        <w:t xml:space="preserve">-que 2016 soit une année de préparation et d'accompagnement des parties déclarantes pour les amener à s'approprier effectivement le processus et les stimuler, chacune, à investir dans la création d'une base de données en s'assurant qu'elle intègre bien les informations pertinentes pour les rapports ITIE. Et qu'à cette occasion, il soit désigné les Points focaux ITIE dans les différentes Structures concernées qui pourront veiller à la continuité des services en ce qui concerne les données ITIE. Même si les recettes déclarées sont passées de </w:t>
      </w:r>
      <w:r w:rsidR="00135472" w:rsidRPr="00575F68">
        <w:rPr>
          <w:rFonts w:ascii="Calibri" w:eastAsia="Times New Roman" w:hAnsi="Calibri" w:cs="Times New Roman"/>
          <w:b/>
          <w:bCs/>
          <w:color w:val="000000"/>
          <w:sz w:val="28"/>
          <w:szCs w:val="28"/>
        </w:rPr>
        <w:t xml:space="preserve">8 349 438 </w:t>
      </w:r>
      <w:r w:rsidRPr="00575F68">
        <w:rPr>
          <w:rFonts w:ascii="Garamond" w:hAnsi="Garamond"/>
          <w:b/>
          <w:sz w:val="28"/>
          <w:szCs w:val="28"/>
        </w:rPr>
        <w:t>USD</w:t>
      </w:r>
      <w:r w:rsidRPr="00575F68">
        <w:rPr>
          <w:rFonts w:ascii="Garamond" w:hAnsi="Garamond"/>
          <w:sz w:val="28"/>
          <w:szCs w:val="28"/>
        </w:rPr>
        <w:t xml:space="preserve"> lors de l'étude de cadrage à </w:t>
      </w:r>
      <w:r w:rsidR="00277A59" w:rsidRPr="00575F68">
        <w:rPr>
          <w:rFonts w:ascii="Calibri" w:eastAsia="Times New Roman" w:hAnsi="Calibri" w:cs="Times New Roman"/>
          <w:b/>
          <w:bCs/>
          <w:color w:val="000000"/>
          <w:sz w:val="28"/>
          <w:szCs w:val="28"/>
        </w:rPr>
        <w:t xml:space="preserve">10 </w:t>
      </w:r>
      <w:r w:rsidR="00135472" w:rsidRPr="00575F68">
        <w:rPr>
          <w:rFonts w:ascii="Calibri" w:eastAsia="Times New Roman" w:hAnsi="Calibri" w:cs="Times New Roman"/>
          <w:b/>
          <w:bCs/>
          <w:color w:val="000000"/>
          <w:sz w:val="28"/>
          <w:szCs w:val="28"/>
        </w:rPr>
        <w:t>388 146,23</w:t>
      </w:r>
      <w:r w:rsidRPr="00575F68">
        <w:rPr>
          <w:rFonts w:ascii="Garamond" w:hAnsi="Garamond"/>
          <w:b/>
          <w:color w:val="0D0D0D" w:themeColor="text1" w:themeTint="F2"/>
          <w:sz w:val="28"/>
          <w:szCs w:val="28"/>
        </w:rPr>
        <w:t>USD</w:t>
      </w:r>
      <w:r w:rsidR="00AA1439" w:rsidRPr="00575F68">
        <w:rPr>
          <w:rFonts w:ascii="Garamond" w:hAnsi="Garamond"/>
          <w:color w:val="0D0D0D" w:themeColor="text1" w:themeTint="F2"/>
          <w:sz w:val="28"/>
          <w:szCs w:val="28"/>
        </w:rPr>
        <w:t xml:space="preserve"> lors de nos</w:t>
      </w:r>
      <w:r w:rsidRPr="00575F68">
        <w:rPr>
          <w:rFonts w:ascii="Garamond" w:hAnsi="Garamond"/>
          <w:color w:val="0D0D0D" w:themeColor="text1" w:themeTint="F2"/>
          <w:sz w:val="28"/>
          <w:szCs w:val="28"/>
        </w:rPr>
        <w:t xml:space="preserve"> mission</w:t>
      </w:r>
      <w:r w:rsidR="00AA1439" w:rsidRPr="00575F68">
        <w:rPr>
          <w:rFonts w:ascii="Garamond" w:hAnsi="Garamond"/>
          <w:color w:val="0D0D0D" w:themeColor="text1" w:themeTint="F2"/>
          <w:sz w:val="28"/>
          <w:szCs w:val="28"/>
        </w:rPr>
        <w:t>s</w:t>
      </w:r>
      <w:r w:rsidR="00135472" w:rsidRPr="00575F68">
        <w:rPr>
          <w:rFonts w:ascii="Garamond" w:hAnsi="Garamond"/>
          <w:color w:val="0D0D0D" w:themeColor="text1" w:themeTint="F2"/>
          <w:sz w:val="28"/>
          <w:szCs w:val="28"/>
        </w:rPr>
        <w:t xml:space="preserve"> pour le secteur forestier</w:t>
      </w:r>
      <w:r w:rsidRPr="00575F68">
        <w:rPr>
          <w:rFonts w:ascii="Garamond" w:hAnsi="Garamond"/>
          <w:color w:val="0D0D0D" w:themeColor="text1" w:themeTint="F2"/>
          <w:sz w:val="28"/>
          <w:szCs w:val="28"/>
        </w:rPr>
        <w:t>, l'exhaustivité n'en est pour autant pas garantie et assurée;</w:t>
      </w:r>
    </w:p>
    <w:p w:rsidR="001400AE" w:rsidRPr="00575F68" w:rsidRDefault="001400AE" w:rsidP="001400AE">
      <w:pPr>
        <w:jc w:val="both"/>
        <w:rPr>
          <w:rFonts w:ascii="Garamond" w:hAnsi="Garamond"/>
          <w:sz w:val="28"/>
          <w:szCs w:val="28"/>
        </w:rPr>
      </w:pPr>
      <w:r w:rsidRPr="00575F68">
        <w:rPr>
          <w:rFonts w:ascii="Garamond" w:hAnsi="Garamond"/>
          <w:sz w:val="28"/>
          <w:szCs w:val="28"/>
        </w:rPr>
        <w:t>-que le rapport pilote de conciliation proprement-dit soit de ce fait produit en 2017, et que ce rapport puisse porter, nous le souhaitons, sur les données les plus récentes possibles, soit de 2016 (les données plus anciennes pouvant, dans les conditions décrites ci-haut, poser un problème sérieux d'exhaustivité</w:t>
      </w:r>
      <w:r w:rsidR="007A156A" w:rsidRPr="00575F68">
        <w:rPr>
          <w:rFonts w:ascii="Garamond" w:hAnsi="Garamond"/>
          <w:sz w:val="28"/>
          <w:szCs w:val="28"/>
        </w:rPr>
        <w:t>);</w:t>
      </w:r>
    </w:p>
    <w:p w:rsidR="007A156A" w:rsidRPr="00575F68" w:rsidRDefault="007A156A" w:rsidP="007A156A">
      <w:pPr>
        <w:spacing w:after="0"/>
        <w:jc w:val="both"/>
        <w:rPr>
          <w:rFonts w:ascii="Garamond" w:hAnsi="Garamond"/>
          <w:sz w:val="28"/>
          <w:szCs w:val="28"/>
        </w:rPr>
      </w:pPr>
      <w:r w:rsidRPr="00575F68">
        <w:rPr>
          <w:rFonts w:ascii="Garamond" w:hAnsi="Garamond"/>
          <w:sz w:val="28"/>
          <w:szCs w:val="28"/>
        </w:rPr>
        <w:t xml:space="preserve">-que le Gouvernement engage des efforts réels pour encourager une formalisation accrue de l'exploitation minière artisanale et forestière afin d'orienter les paiements vers  le circuit officiel </w:t>
      </w:r>
      <w:r w:rsidR="001B332A" w:rsidRPr="00575F68">
        <w:rPr>
          <w:rFonts w:ascii="Garamond" w:hAnsi="Garamond"/>
          <w:sz w:val="28"/>
          <w:szCs w:val="28"/>
        </w:rPr>
        <w:t>pour être ainsi</w:t>
      </w:r>
      <w:r w:rsidRPr="00575F68">
        <w:rPr>
          <w:rFonts w:ascii="Garamond" w:hAnsi="Garamond"/>
          <w:sz w:val="28"/>
          <w:szCs w:val="28"/>
        </w:rPr>
        <w:t xml:space="preserve"> captés dans le</w:t>
      </w:r>
      <w:r w:rsidR="001B332A" w:rsidRPr="00575F68">
        <w:rPr>
          <w:rFonts w:ascii="Garamond" w:hAnsi="Garamond"/>
          <w:sz w:val="28"/>
          <w:szCs w:val="28"/>
        </w:rPr>
        <w:t>srapports</w:t>
      </w:r>
      <w:r w:rsidRPr="00575F68">
        <w:rPr>
          <w:rFonts w:ascii="Garamond" w:hAnsi="Garamond"/>
          <w:sz w:val="28"/>
          <w:szCs w:val="28"/>
        </w:rPr>
        <w:t xml:space="preserve"> ITIE</w:t>
      </w:r>
      <w:r w:rsidR="001B332A" w:rsidRPr="00575F68">
        <w:rPr>
          <w:rFonts w:ascii="Garamond" w:hAnsi="Garamond"/>
          <w:sz w:val="28"/>
          <w:szCs w:val="28"/>
        </w:rPr>
        <w:t>, carnous devons</w:t>
      </w:r>
      <w:r w:rsidRPr="00575F68">
        <w:rPr>
          <w:rFonts w:ascii="Garamond" w:hAnsi="Garamond"/>
          <w:sz w:val="28"/>
          <w:szCs w:val="28"/>
        </w:rPr>
        <w:t xml:space="preserve"> non seulement maîtriser les recettes de l'Etat</w:t>
      </w:r>
      <w:r w:rsidR="001B332A" w:rsidRPr="00575F68">
        <w:rPr>
          <w:rFonts w:ascii="Garamond" w:hAnsi="Garamond"/>
          <w:sz w:val="28"/>
          <w:szCs w:val="28"/>
        </w:rPr>
        <w:t xml:space="preserve"> perçues</w:t>
      </w:r>
      <w:r w:rsidRPr="00575F68">
        <w:rPr>
          <w:rFonts w:ascii="Garamond" w:hAnsi="Garamond"/>
          <w:sz w:val="28"/>
          <w:szCs w:val="28"/>
        </w:rPr>
        <w:t xml:space="preserve"> et les publier, mais aussi, </w:t>
      </w:r>
      <w:r w:rsidR="001B332A" w:rsidRPr="00575F68">
        <w:rPr>
          <w:rFonts w:ascii="Garamond" w:hAnsi="Garamond"/>
          <w:sz w:val="28"/>
          <w:szCs w:val="28"/>
        </w:rPr>
        <w:t>militer pour leur accroissement</w:t>
      </w:r>
      <w:r w:rsidR="00D2106D" w:rsidRPr="00575F68">
        <w:rPr>
          <w:rFonts w:ascii="Garamond" w:hAnsi="Garamond"/>
          <w:sz w:val="28"/>
          <w:szCs w:val="28"/>
        </w:rPr>
        <w:t xml:space="preserve"> proportionnel à l'activité qui les génère</w:t>
      </w:r>
      <w:r w:rsidR="001B332A" w:rsidRPr="00575F68">
        <w:rPr>
          <w:rFonts w:ascii="Garamond" w:hAnsi="Garamond"/>
          <w:sz w:val="28"/>
          <w:szCs w:val="28"/>
        </w:rPr>
        <w:t>. C'est aussi ça être Citoyen.</w:t>
      </w:r>
    </w:p>
    <w:p w:rsidR="005B2DE9" w:rsidRPr="00575F68" w:rsidRDefault="005B2DE9" w:rsidP="006D6EEE">
      <w:pPr>
        <w:jc w:val="both"/>
        <w:rPr>
          <w:rFonts w:ascii="Garamond" w:hAnsi="Garamond"/>
          <w:sz w:val="28"/>
          <w:szCs w:val="28"/>
        </w:rPr>
      </w:pPr>
    </w:p>
    <w:sectPr w:rsidR="005B2DE9" w:rsidRPr="00575F68" w:rsidSect="009469D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DCD" w:rsidRDefault="007F7DCD" w:rsidP="00AB2278">
      <w:pPr>
        <w:spacing w:after="0" w:line="240" w:lineRule="auto"/>
      </w:pPr>
      <w:r>
        <w:separator/>
      </w:r>
    </w:p>
  </w:endnote>
  <w:endnote w:type="continuationSeparator" w:id="0">
    <w:p w:rsidR="007F7DCD" w:rsidRDefault="007F7DCD" w:rsidP="00AB2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76505"/>
      <w:docPartObj>
        <w:docPartGallery w:val="Page Numbers (Bottom of Page)"/>
        <w:docPartUnique/>
      </w:docPartObj>
    </w:sdtPr>
    <w:sdtEndPr/>
    <w:sdtContent>
      <w:p w:rsidR="005D75F9" w:rsidRDefault="00552DBD">
        <w:pPr>
          <w:pStyle w:val="Pieddepage"/>
          <w:jc w:val="right"/>
        </w:pPr>
        <w:r>
          <w:fldChar w:fldCharType="begin"/>
        </w:r>
        <w:r w:rsidR="00260CCC">
          <w:instrText xml:space="preserve"> PAGE   \* MERGEFORMAT </w:instrText>
        </w:r>
        <w:r>
          <w:fldChar w:fldCharType="separate"/>
        </w:r>
        <w:r w:rsidR="007F7DCD">
          <w:rPr>
            <w:noProof/>
          </w:rPr>
          <w:t>1</w:t>
        </w:r>
        <w:r>
          <w:rPr>
            <w:noProof/>
          </w:rPr>
          <w:fldChar w:fldCharType="end"/>
        </w:r>
      </w:p>
    </w:sdtContent>
  </w:sdt>
  <w:p w:rsidR="005D75F9" w:rsidRDefault="005D75F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DCD" w:rsidRDefault="007F7DCD" w:rsidP="00AB2278">
      <w:pPr>
        <w:spacing w:after="0" w:line="240" w:lineRule="auto"/>
      </w:pPr>
      <w:r>
        <w:separator/>
      </w:r>
    </w:p>
  </w:footnote>
  <w:footnote w:type="continuationSeparator" w:id="0">
    <w:p w:rsidR="007F7DCD" w:rsidRDefault="007F7DCD" w:rsidP="00AB22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278" w:rsidRDefault="00AB2278">
    <w:pPr>
      <w:pStyle w:val="En-tte"/>
    </w:pPr>
    <w:r w:rsidRPr="00AB2278">
      <w:rPr>
        <w:noProof/>
      </w:rPr>
      <w:drawing>
        <wp:inline distT="0" distB="0" distL="0" distR="0">
          <wp:extent cx="1247140" cy="423333"/>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49700" cy="424202"/>
                  </a:xfrm>
                  <a:prstGeom prst="rect">
                    <a:avLst/>
                  </a:prstGeom>
                  <a:noFill/>
                  <a:ln w="9525">
                    <a:noFill/>
                    <a:miter lim="800000"/>
                    <a:headEnd/>
                    <a:tailEnd/>
                  </a:ln>
                </pic:spPr>
              </pic:pic>
            </a:graphicData>
          </a:graphic>
        </wp:inline>
      </w:drawing>
    </w:r>
    <w:r w:rsidR="00252787" w:rsidRPr="00252787">
      <w:rPr>
        <w:rStyle w:val="Titre1Car"/>
      </w:rPr>
      <w:t>Secrétariat Technique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53231"/>
    <w:multiLevelType w:val="hybridMultilevel"/>
    <w:tmpl w:val="D1B81E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3C42CEC"/>
    <w:multiLevelType w:val="hybridMultilevel"/>
    <w:tmpl w:val="4B822E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4486498"/>
    <w:multiLevelType w:val="hybridMultilevel"/>
    <w:tmpl w:val="DF4C102A"/>
    <w:lvl w:ilvl="0" w:tplc="D47AFCA8">
      <w:start w:val="5"/>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BBE1967"/>
    <w:multiLevelType w:val="hybridMultilevel"/>
    <w:tmpl w:val="4FAAA236"/>
    <w:lvl w:ilvl="0" w:tplc="55947102">
      <w:start w:val="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E2673F8"/>
    <w:multiLevelType w:val="hybridMultilevel"/>
    <w:tmpl w:val="A4F033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AC34124"/>
    <w:multiLevelType w:val="hybridMultilevel"/>
    <w:tmpl w:val="A7EC85D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A131965"/>
    <w:multiLevelType w:val="hybridMultilevel"/>
    <w:tmpl w:val="FBCA2E1E"/>
    <w:lvl w:ilvl="0" w:tplc="55947102">
      <w:start w:val="2"/>
      <w:numFmt w:val="bullet"/>
      <w:lvlText w:val="→"/>
      <w:lvlJc w:val="left"/>
      <w:pPr>
        <w:ind w:left="1490" w:hanging="360"/>
      </w:pPr>
      <w:rPr>
        <w:rFonts w:ascii="Calibri" w:eastAsia="Times New Roman" w:hAnsi="Calibri" w:cs="Times New Roman" w:hint="default"/>
      </w:rPr>
    </w:lvl>
    <w:lvl w:ilvl="1" w:tplc="040C0003" w:tentative="1">
      <w:start w:val="1"/>
      <w:numFmt w:val="bullet"/>
      <w:lvlText w:val="o"/>
      <w:lvlJc w:val="left"/>
      <w:pPr>
        <w:ind w:left="2210" w:hanging="360"/>
      </w:pPr>
      <w:rPr>
        <w:rFonts w:ascii="Courier New" w:hAnsi="Courier New" w:cs="Courier New" w:hint="default"/>
      </w:rPr>
    </w:lvl>
    <w:lvl w:ilvl="2" w:tplc="040C0005" w:tentative="1">
      <w:start w:val="1"/>
      <w:numFmt w:val="bullet"/>
      <w:lvlText w:val=""/>
      <w:lvlJc w:val="left"/>
      <w:pPr>
        <w:ind w:left="2930" w:hanging="360"/>
      </w:pPr>
      <w:rPr>
        <w:rFonts w:ascii="Wingdings" w:hAnsi="Wingdings" w:hint="default"/>
      </w:rPr>
    </w:lvl>
    <w:lvl w:ilvl="3" w:tplc="040C0001" w:tentative="1">
      <w:start w:val="1"/>
      <w:numFmt w:val="bullet"/>
      <w:lvlText w:val=""/>
      <w:lvlJc w:val="left"/>
      <w:pPr>
        <w:ind w:left="3650" w:hanging="360"/>
      </w:pPr>
      <w:rPr>
        <w:rFonts w:ascii="Symbol" w:hAnsi="Symbol" w:hint="default"/>
      </w:rPr>
    </w:lvl>
    <w:lvl w:ilvl="4" w:tplc="040C0003" w:tentative="1">
      <w:start w:val="1"/>
      <w:numFmt w:val="bullet"/>
      <w:lvlText w:val="o"/>
      <w:lvlJc w:val="left"/>
      <w:pPr>
        <w:ind w:left="4370" w:hanging="360"/>
      </w:pPr>
      <w:rPr>
        <w:rFonts w:ascii="Courier New" w:hAnsi="Courier New" w:cs="Courier New" w:hint="default"/>
      </w:rPr>
    </w:lvl>
    <w:lvl w:ilvl="5" w:tplc="040C0005" w:tentative="1">
      <w:start w:val="1"/>
      <w:numFmt w:val="bullet"/>
      <w:lvlText w:val=""/>
      <w:lvlJc w:val="left"/>
      <w:pPr>
        <w:ind w:left="5090" w:hanging="360"/>
      </w:pPr>
      <w:rPr>
        <w:rFonts w:ascii="Wingdings" w:hAnsi="Wingdings" w:hint="default"/>
      </w:rPr>
    </w:lvl>
    <w:lvl w:ilvl="6" w:tplc="040C0001" w:tentative="1">
      <w:start w:val="1"/>
      <w:numFmt w:val="bullet"/>
      <w:lvlText w:val=""/>
      <w:lvlJc w:val="left"/>
      <w:pPr>
        <w:ind w:left="5810" w:hanging="360"/>
      </w:pPr>
      <w:rPr>
        <w:rFonts w:ascii="Symbol" w:hAnsi="Symbol" w:hint="default"/>
      </w:rPr>
    </w:lvl>
    <w:lvl w:ilvl="7" w:tplc="040C0003" w:tentative="1">
      <w:start w:val="1"/>
      <w:numFmt w:val="bullet"/>
      <w:lvlText w:val="o"/>
      <w:lvlJc w:val="left"/>
      <w:pPr>
        <w:ind w:left="6530" w:hanging="360"/>
      </w:pPr>
      <w:rPr>
        <w:rFonts w:ascii="Courier New" w:hAnsi="Courier New" w:cs="Courier New" w:hint="default"/>
      </w:rPr>
    </w:lvl>
    <w:lvl w:ilvl="8" w:tplc="040C0005" w:tentative="1">
      <w:start w:val="1"/>
      <w:numFmt w:val="bullet"/>
      <w:lvlText w:val=""/>
      <w:lvlJc w:val="left"/>
      <w:pPr>
        <w:ind w:left="7250" w:hanging="360"/>
      </w:pPr>
      <w:rPr>
        <w:rFonts w:ascii="Wingdings" w:hAnsi="Wingdings" w:hint="default"/>
      </w:rPr>
    </w:lvl>
  </w:abstractNum>
  <w:abstractNum w:abstractNumId="7">
    <w:nsid w:val="6A9C208F"/>
    <w:multiLevelType w:val="hybridMultilevel"/>
    <w:tmpl w:val="DBAE3446"/>
    <w:lvl w:ilvl="0" w:tplc="D47AFCA8">
      <w:start w:val="5"/>
      <w:numFmt w:val="bullet"/>
      <w:lvlText w:val="-"/>
      <w:lvlJc w:val="left"/>
      <w:pPr>
        <w:ind w:left="720" w:hanging="360"/>
      </w:pPr>
      <w:rPr>
        <w:rFonts w:ascii="Verdana" w:eastAsiaTheme="minorHAnsi" w:hAnsi="Verdana" w:cstheme="minorBidi" w:hint="default"/>
      </w:rPr>
    </w:lvl>
    <w:lvl w:ilvl="1" w:tplc="ED043EC6">
      <w:start w:val="1"/>
      <w:numFmt w:val="lowerRoman"/>
      <w:lvlText w:val="%2)"/>
      <w:lvlJc w:val="left"/>
      <w:pPr>
        <w:ind w:left="1440" w:hanging="360"/>
      </w:pPr>
      <w:rPr>
        <w:rFonts w:ascii="Verdana" w:eastAsiaTheme="minorHAnsi" w:hAnsi="Verdana" w:cstheme="minorBidi"/>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BE60040"/>
    <w:multiLevelType w:val="hybridMultilevel"/>
    <w:tmpl w:val="A5B80EF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2"/>
  </w:num>
  <w:num w:numId="5">
    <w:abstractNumId w:val="3"/>
  </w:num>
  <w:num w:numId="6">
    <w:abstractNumId w:val="1"/>
  </w:num>
  <w:num w:numId="7">
    <w:abstractNumId w:val="7"/>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696"/>
    <w:rsid w:val="0001110F"/>
    <w:rsid w:val="0001617B"/>
    <w:rsid w:val="00030393"/>
    <w:rsid w:val="00031E63"/>
    <w:rsid w:val="000364FE"/>
    <w:rsid w:val="00044308"/>
    <w:rsid w:val="00056DE8"/>
    <w:rsid w:val="00071D60"/>
    <w:rsid w:val="000763AB"/>
    <w:rsid w:val="00091B1F"/>
    <w:rsid w:val="000B3DA5"/>
    <w:rsid w:val="000C4A27"/>
    <w:rsid w:val="000D56A3"/>
    <w:rsid w:val="000F45B7"/>
    <w:rsid w:val="000F7AAC"/>
    <w:rsid w:val="00127935"/>
    <w:rsid w:val="00135472"/>
    <w:rsid w:val="001400AE"/>
    <w:rsid w:val="00155973"/>
    <w:rsid w:val="001666B8"/>
    <w:rsid w:val="0017744B"/>
    <w:rsid w:val="00180179"/>
    <w:rsid w:val="00182A94"/>
    <w:rsid w:val="001A6376"/>
    <w:rsid w:val="001B332A"/>
    <w:rsid w:val="001F600E"/>
    <w:rsid w:val="002107C0"/>
    <w:rsid w:val="00213E48"/>
    <w:rsid w:val="00220B68"/>
    <w:rsid w:val="00224B0B"/>
    <w:rsid w:val="0022701F"/>
    <w:rsid w:val="0022705F"/>
    <w:rsid w:val="00235C11"/>
    <w:rsid w:val="00244A64"/>
    <w:rsid w:val="002518B6"/>
    <w:rsid w:val="00252787"/>
    <w:rsid w:val="00260CCC"/>
    <w:rsid w:val="0026666A"/>
    <w:rsid w:val="00277A59"/>
    <w:rsid w:val="00291EF3"/>
    <w:rsid w:val="002A08F9"/>
    <w:rsid w:val="002A2714"/>
    <w:rsid w:val="002A6F5A"/>
    <w:rsid w:val="002B58E9"/>
    <w:rsid w:val="002D3FDE"/>
    <w:rsid w:val="00301207"/>
    <w:rsid w:val="003241EF"/>
    <w:rsid w:val="00333C70"/>
    <w:rsid w:val="0034030C"/>
    <w:rsid w:val="00342A85"/>
    <w:rsid w:val="00343AF6"/>
    <w:rsid w:val="003646E4"/>
    <w:rsid w:val="00364BC9"/>
    <w:rsid w:val="00377B4D"/>
    <w:rsid w:val="00397857"/>
    <w:rsid w:val="003B6E15"/>
    <w:rsid w:val="003C4C83"/>
    <w:rsid w:val="003D235F"/>
    <w:rsid w:val="003F78A6"/>
    <w:rsid w:val="00417472"/>
    <w:rsid w:val="004354D5"/>
    <w:rsid w:val="00442579"/>
    <w:rsid w:val="00456D97"/>
    <w:rsid w:val="00457A8D"/>
    <w:rsid w:val="0047098B"/>
    <w:rsid w:val="004766F2"/>
    <w:rsid w:val="004E0A95"/>
    <w:rsid w:val="00502BD1"/>
    <w:rsid w:val="00510B51"/>
    <w:rsid w:val="00515CE3"/>
    <w:rsid w:val="00530542"/>
    <w:rsid w:val="00551C10"/>
    <w:rsid w:val="00552DBD"/>
    <w:rsid w:val="00574A7B"/>
    <w:rsid w:val="00575F68"/>
    <w:rsid w:val="005B2DE9"/>
    <w:rsid w:val="005B746B"/>
    <w:rsid w:val="005C7AA8"/>
    <w:rsid w:val="005D1526"/>
    <w:rsid w:val="005D75F9"/>
    <w:rsid w:val="005E4FB4"/>
    <w:rsid w:val="005F5B07"/>
    <w:rsid w:val="00601ABA"/>
    <w:rsid w:val="0060473C"/>
    <w:rsid w:val="00605F37"/>
    <w:rsid w:val="00631CC7"/>
    <w:rsid w:val="00634552"/>
    <w:rsid w:val="0063791E"/>
    <w:rsid w:val="006570B1"/>
    <w:rsid w:val="00685311"/>
    <w:rsid w:val="00691529"/>
    <w:rsid w:val="00692C8A"/>
    <w:rsid w:val="0069367A"/>
    <w:rsid w:val="006A1BDA"/>
    <w:rsid w:val="006A44D5"/>
    <w:rsid w:val="006B496B"/>
    <w:rsid w:val="006B5F07"/>
    <w:rsid w:val="006D6EEE"/>
    <w:rsid w:val="006D725D"/>
    <w:rsid w:val="006E0C39"/>
    <w:rsid w:val="006E3B19"/>
    <w:rsid w:val="0070788B"/>
    <w:rsid w:val="00710E8B"/>
    <w:rsid w:val="00712785"/>
    <w:rsid w:val="00714EF2"/>
    <w:rsid w:val="00723CC8"/>
    <w:rsid w:val="00754B22"/>
    <w:rsid w:val="00757B90"/>
    <w:rsid w:val="007633EB"/>
    <w:rsid w:val="00774E7E"/>
    <w:rsid w:val="00780F03"/>
    <w:rsid w:val="007875FB"/>
    <w:rsid w:val="007922F1"/>
    <w:rsid w:val="007A156A"/>
    <w:rsid w:val="007A5FB0"/>
    <w:rsid w:val="007A7D93"/>
    <w:rsid w:val="007B4696"/>
    <w:rsid w:val="007C7BEA"/>
    <w:rsid w:val="007F680F"/>
    <w:rsid w:val="007F7DCD"/>
    <w:rsid w:val="00811A47"/>
    <w:rsid w:val="00815837"/>
    <w:rsid w:val="00820CD2"/>
    <w:rsid w:val="008308E2"/>
    <w:rsid w:val="008341FC"/>
    <w:rsid w:val="00842C52"/>
    <w:rsid w:val="00873BDF"/>
    <w:rsid w:val="008849F0"/>
    <w:rsid w:val="0088688B"/>
    <w:rsid w:val="00886D5A"/>
    <w:rsid w:val="008A73FE"/>
    <w:rsid w:val="008A7580"/>
    <w:rsid w:val="008B5874"/>
    <w:rsid w:val="008B6C81"/>
    <w:rsid w:val="008C6D75"/>
    <w:rsid w:val="008D357B"/>
    <w:rsid w:val="008E7D1E"/>
    <w:rsid w:val="008F74A9"/>
    <w:rsid w:val="00901C8F"/>
    <w:rsid w:val="009203F8"/>
    <w:rsid w:val="009206E7"/>
    <w:rsid w:val="00927857"/>
    <w:rsid w:val="009469D4"/>
    <w:rsid w:val="00970E17"/>
    <w:rsid w:val="009736A3"/>
    <w:rsid w:val="00986C57"/>
    <w:rsid w:val="0099010B"/>
    <w:rsid w:val="00994886"/>
    <w:rsid w:val="009B20B6"/>
    <w:rsid w:val="009E712F"/>
    <w:rsid w:val="009F52A2"/>
    <w:rsid w:val="00A02801"/>
    <w:rsid w:val="00A10B36"/>
    <w:rsid w:val="00A14A80"/>
    <w:rsid w:val="00A17EA9"/>
    <w:rsid w:val="00A21CEA"/>
    <w:rsid w:val="00A220AC"/>
    <w:rsid w:val="00A333E0"/>
    <w:rsid w:val="00A356C9"/>
    <w:rsid w:val="00A61329"/>
    <w:rsid w:val="00A70084"/>
    <w:rsid w:val="00A7568D"/>
    <w:rsid w:val="00AA1439"/>
    <w:rsid w:val="00AB2278"/>
    <w:rsid w:val="00AC1CFD"/>
    <w:rsid w:val="00B022B4"/>
    <w:rsid w:val="00B13231"/>
    <w:rsid w:val="00B32D2A"/>
    <w:rsid w:val="00B36ACE"/>
    <w:rsid w:val="00B430CE"/>
    <w:rsid w:val="00B43B8E"/>
    <w:rsid w:val="00B460D2"/>
    <w:rsid w:val="00B50B18"/>
    <w:rsid w:val="00B57531"/>
    <w:rsid w:val="00B720B2"/>
    <w:rsid w:val="00B82F03"/>
    <w:rsid w:val="00B87CE1"/>
    <w:rsid w:val="00BB2206"/>
    <w:rsid w:val="00BC1597"/>
    <w:rsid w:val="00BC475E"/>
    <w:rsid w:val="00BC6C4F"/>
    <w:rsid w:val="00BE2780"/>
    <w:rsid w:val="00BF6B97"/>
    <w:rsid w:val="00C10000"/>
    <w:rsid w:val="00C15A82"/>
    <w:rsid w:val="00C246C2"/>
    <w:rsid w:val="00C32129"/>
    <w:rsid w:val="00C41779"/>
    <w:rsid w:val="00C52AF1"/>
    <w:rsid w:val="00C52F5F"/>
    <w:rsid w:val="00C64B75"/>
    <w:rsid w:val="00C95D7A"/>
    <w:rsid w:val="00CA28CB"/>
    <w:rsid w:val="00CC2FF4"/>
    <w:rsid w:val="00CC41F8"/>
    <w:rsid w:val="00CD3469"/>
    <w:rsid w:val="00CD3DB8"/>
    <w:rsid w:val="00CE01C0"/>
    <w:rsid w:val="00CE7883"/>
    <w:rsid w:val="00D02592"/>
    <w:rsid w:val="00D14E58"/>
    <w:rsid w:val="00D17621"/>
    <w:rsid w:val="00D2106D"/>
    <w:rsid w:val="00D2688F"/>
    <w:rsid w:val="00D3580B"/>
    <w:rsid w:val="00D474F6"/>
    <w:rsid w:val="00D51EED"/>
    <w:rsid w:val="00D60C6A"/>
    <w:rsid w:val="00D71049"/>
    <w:rsid w:val="00D761EF"/>
    <w:rsid w:val="00D85D68"/>
    <w:rsid w:val="00D872C9"/>
    <w:rsid w:val="00DA0D8C"/>
    <w:rsid w:val="00DA6CCD"/>
    <w:rsid w:val="00DB7BAB"/>
    <w:rsid w:val="00DC516F"/>
    <w:rsid w:val="00DF46FD"/>
    <w:rsid w:val="00E721CF"/>
    <w:rsid w:val="00EC462D"/>
    <w:rsid w:val="00EC5724"/>
    <w:rsid w:val="00EC791F"/>
    <w:rsid w:val="00ED56F9"/>
    <w:rsid w:val="00ED79DA"/>
    <w:rsid w:val="00EF020D"/>
    <w:rsid w:val="00F349A9"/>
    <w:rsid w:val="00F64461"/>
    <w:rsid w:val="00F97C2C"/>
    <w:rsid w:val="00FA1B51"/>
    <w:rsid w:val="00FA30FB"/>
    <w:rsid w:val="00FD1A63"/>
    <w:rsid w:val="00FD596E"/>
    <w:rsid w:val="00FD6436"/>
    <w:rsid w:val="00FF430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2527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7B469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B4696"/>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F64461"/>
    <w:pPr>
      <w:ind w:left="720"/>
      <w:contextualSpacing/>
    </w:pPr>
  </w:style>
  <w:style w:type="paragraph" w:styleId="NormalWeb">
    <w:name w:val="Normal (Web)"/>
    <w:basedOn w:val="Normal"/>
    <w:uiPriority w:val="99"/>
    <w:semiHidden/>
    <w:unhideWhenUsed/>
    <w:rsid w:val="00FD1A63"/>
    <w:pPr>
      <w:spacing w:before="100" w:beforeAutospacing="1" w:after="100" w:afterAutospacing="1" w:line="240" w:lineRule="auto"/>
    </w:pPr>
    <w:rPr>
      <w:rFonts w:ascii="Times New Roman" w:eastAsia="Times New Roman" w:hAnsi="Times New Roman" w:cs="Times New Roman"/>
      <w:sz w:val="24"/>
      <w:szCs w:val="24"/>
    </w:rPr>
  </w:style>
  <w:style w:type="paragraph" w:styleId="En-tte">
    <w:name w:val="header"/>
    <w:basedOn w:val="Normal"/>
    <w:link w:val="En-tteCar"/>
    <w:uiPriority w:val="99"/>
    <w:unhideWhenUsed/>
    <w:rsid w:val="00AB2278"/>
    <w:pPr>
      <w:tabs>
        <w:tab w:val="center" w:pos="4536"/>
        <w:tab w:val="right" w:pos="9072"/>
      </w:tabs>
      <w:spacing w:after="0" w:line="240" w:lineRule="auto"/>
    </w:pPr>
  </w:style>
  <w:style w:type="character" w:customStyle="1" w:styleId="En-tteCar">
    <w:name w:val="En-tête Car"/>
    <w:basedOn w:val="Policepardfaut"/>
    <w:link w:val="En-tte"/>
    <w:uiPriority w:val="99"/>
    <w:rsid w:val="00AB2278"/>
  </w:style>
  <w:style w:type="paragraph" w:styleId="Pieddepage">
    <w:name w:val="footer"/>
    <w:basedOn w:val="Normal"/>
    <w:link w:val="PieddepageCar"/>
    <w:uiPriority w:val="99"/>
    <w:unhideWhenUsed/>
    <w:rsid w:val="00AB22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B2278"/>
  </w:style>
  <w:style w:type="paragraph" w:styleId="Textedebulles">
    <w:name w:val="Balloon Text"/>
    <w:basedOn w:val="Normal"/>
    <w:link w:val="TextedebullesCar"/>
    <w:uiPriority w:val="99"/>
    <w:semiHidden/>
    <w:unhideWhenUsed/>
    <w:rsid w:val="00AB227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B2278"/>
    <w:rPr>
      <w:rFonts w:ascii="Tahoma" w:hAnsi="Tahoma" w:cs="Tahoma"/>
      <w:sz w:val="16"/>
      <w:szCs w:val="16"/>
    </w:rPr>
  </w:style>
  <w:style w:type="character" w:customStyle="1" w:styleId="Titre1Car">
    <w:name w:val="Titre 1 Car"/>
    <w:basedOn w:val="Policepardfaut"/>
    <w:link w:val="Titre1"/>
    <w:uiPriority w:val="9"/>
    <w:rsid w:val="0025278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2527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7B469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B4696"/>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F64461"/>
    <w:pPr>
      <w:ind w:left="720"/>
      <w:contextualSpacing/>
    </w:pPr>
  </w:style>
  <w:style w:type="paragraph" w:styleId="NormalWeb">
    <w:name w:val="Normal (Web)"/>
    <w:basedOn w:val="Normal"/>
    <w:uiPriority w:val="99"/>
    <w:semiHidden/>
    <w:unhideWhenUsed/>
    <w:rsid w:val="00FD1A63"/>
    <w:pPr>
      <w:spacing w:before="100" w:beforeAutospacing="1" w:after="100" w:afterAutospacing="1" w:line="240" w:lineRule="auto"/>
    </w:pPr>
    <w:rPr>
      <w:rFonts w:ascii="Times New Roman" w:eastAsia="Times New Roman" w:hAnsi="Times New Roman" w:cs="Times New Roman"/>
      <w:sz w:val="24"/>
      <w:szCs w:val="24"/>
    </w:rPr>
  </w:style>
  <w:style w:type="paragraph" w:styleId="En-tte">
    <w:name w:val="header"/>
    <w:basedOn w:val="Normal"/>
    <w:link w:val="En-tteCar"/>
    <w:uiPriority w:val="99"/>
    <w:unhideWhenUsed/>
    <w:rsid w:val="00AB2278"/>
    <w:pPr>
      <w:tabs>
        <w:tab w:val="center" w:pos="4536"/>
        <w:tab w:val="right" w:pos="9072"/>
      </w:tabs>
      <w:spacing w:after="0" w:line="240" w:lineRule="auto"/>
    </w:pPr>
  </w:style>
  <w:style w:type="character" w:customStyle="1" w:styleId="En-tteCar">
    <w:name w:val="En-tête Car"/>
    <w:basedOn w:val="Policepardfaut"/>
    <w:link w:val="En-tte"/>
    <w:uiPriority w:val="99"/>
    <w:rsid w:val="00AB2278"/>
  </w:style>
  <w:style w:type="paragraph" w:styleId="Pieddepage">
    <w:name w:val="footer"/>
    <w:basedOn w:val="Normal"/>
    <w:link w:val="PieddepageCar"/>
    <w:uiPriority w:val="99"/>
    <w:unhideWhenUsed/>
    <w:rsid w:val="00AB22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B2278"/>
  </w:style>
  <w:style w:type="paragraph" w:styleId="Textedebulles">
    <w:name w:val="Balloon Text"/>
    <w:basedOn w:val="Normal"/>
    <w:link w:val="TextedebullesCar"/>
    <w:uiPriority w:val="99"/>
    <w:semiHidden/>
    <w:unhideWhenUsed/>
    <w:rsid w:val="00AB227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B2278"/>
    <w:rPr>
      <w:rFonts w:ascii="Tahoma" w:hAnsi="Tahoma" w:cs="Tahoma"/>
      <w:sz w:val="16"/>
      <w:szCs w:val="16"/>
    </w:rPr>
  </w:style>
  <w:style w:type="character" w:customStyle="1" w:styleId="Titre1Car">
    <w:name w:val="Titre 1 Car"/>
    <w:basedOn w:val="Policepardfaut"/>
    <w:link w:val="Titre1"/>
    <w:uiPriority w:val="9"/>
    <w:rsid w:val="0025278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55827">
      <w:bodyDiv w:val="1"/>
      <w:marLeft w:val="0"/>
      <w:marRight w:val="0"/>
      <w:marTop w:val="0"/>
      <w:marBottom w:val="0"/>
      <w:divBdr>
        <w:top w:val="none" w:sz="0" w:space="0" w:color="auto"/>
        <w:left w:val="none" w:sz="0" w:space="0" w:color="auto"/>
        <w:bottom w:val="none" w:sz="0" w:space="0" w:color="auto"/>
        <w:right w:val="none" w:sz="0" w:space="0" w:color="auto"/>
      </w:divBdr>
    </w:div>
    <w:div w:id="228196669">
      <w:bodyDiv w:val="1"/>
      <w:marLeft w:val="0"/>
      <w:marRight w:val="0"/>
      <w:marTop w:val="0"/>
      <w:marBottom w:val="0"/>
      <w:divBdr>
        <w:top w:val="none" w:sz="0" w:space="0" w:color="auto"/>
        <w:left w:val="none" w:sz="0" w:space="0" w:color="auto"/>
        <w:bottom w:val="none" w:sz="0" w:space="0" w:color="auto"/>
        <w:right w:val="none" w:sz="0" w:space="0" w:color="auto"/>
      </w:divBdr>
    </w:div>
    <w:div w:id="492259682">
      <w:bodyDiv w:val="1"/>
      <w:marLeft w:val="0"/>
      <w:marRight w:val="0"/>
      <w:marTop w:val="0"/>
      <w:marBottom w:val="0"/>
      <w:divBdr>
        <w:top w:val="none" w:sz="0" w:space="0" w:color="auto"/>
        <w:left w:val="none" w:sz="0" w:space="0" w:color="auto"/>
        <w:bottom w:val="none" w:sz="0" w:space="0" w:color="auto"/>
        <w:right w:val="none" w:sz="0" w:space="0" w:color="auto"/>
      </w:divBdr>
    </w:div>
    <w:div w:id="1222207926">
      <w:bodyDiv w:val="1"/>
      <w:marLeft w:val="0"/>
      <w:marRight w:val="0"/>
      <w:marTop w:val="0"/>
      <w:marBottom w:val="0"/>
      <w:divBdr>
        <w:top w:val="none" w:sz="0" w:space="0" w:color="auto"/>
        <w:left w:val="none" w:sz="0" w:space="0" w:color="auto"/>
        <w:bottom w:val="none" w:sz="0" w:space="0" w:color="auto"/>
        <w:right w:val="none" w:sz="0" w:space="0" w:color="auto"/>
      </w:divBdr>
    </w:div>
    <w:div w:id="1453282246">
      <w:bodyDiv w:val="1"/>
      <w:marLeft w:val="0"/>
      <w:marRight w:val="0"/>
      <w:marTop w:val="0"/>
      <w:marBottom w:val="0"/>
      <w:divBdr>
        <w:top w:val="none" w:sz="0" w:space="0" w:color="auto"/>
        <w:left w:val="none" w:sz="0" w:space="0" w:color="auto"/>
        <w:bottom w:val="none" w:sz="0" w:space="0" w:color="auto"/>
        <w:right w:val="none" w:sz="0" w:space="0" w:color="auto"/>
      </w:divBdr>
    </w:div>
    <w:div w:id="1997299926">
      <w:bodyDiv w:val="1"/>
      <w:marLeft w:val="0"/>
      <w:marRight w:val="0"/>
      <w:marTop w:val="0"/>
      <w:marBottom w:val="0"/>
      <w:divBdr>
        <w:top w:val="none" w:sz="0" w:space="0" w:color="auto"/>
        <w:left w:val="none" w:sz="0" w:space="0" w:color="auto"/>
        <w:bottom w:val="none" w:sz="0" w:space="0" w:color="auto"/>
        <w:right w:val="none" w:sz="0" w:space="0" w:color="auto"/>
      </w:divBdr>
    </w:div>
    <w:div w:id="207986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3241</Words>
  <Characters>17829</Characters>
  <Application>Microsoft Office Word</Application>
  <DocSecurity>0</DocSecurity>
  <Lines>148</Lines>
  <Paragraphs>42</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2016-03-14T11:20:00Z</cp:lastPrinted>
  <dcterms:created xsi:type="dcterms:W3CDTF">2016-03-25T14:13:00Z</dcterms:created>
  <dcterms:modified xsi:type="dcterms:W3CDTF">2016-03-25T14:13:00Z</dcterms:modified>
</cp:coreProperties>
</file>