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DE" w:rsidRPr="005D02DE" w:rsidRDefault="005D02DE" w:rsidP="005D02DE">
      <w:pPr>
        <w:pStyle w:val="Citationintense"/>
        <w:shd w:val="clear" w:color="auto" w:fill="D9E2F3" w:themeFill="accent5" w:themeFillTint="33"/>
        <w:ind w:left="-1418" w:right="-1440"/>
        <w:rPr>
          <w:b/>
          <w:i w:val="0"/>
          <w:color w:val="auto"/>
          <w:sz w:val="36"/>
        </w:rPr>
      </w:pPr>
      <w:bookmarkStart w:id="0" w:name="_GoBack"/>
      <w:bookmarkEnd w:id="0"/>
      <w:r w:rsidRPr="005D02DE">
        <w:rPr>
          <w:b/>
          <w:i w:val="0"/>
          <w:color w:val="auto"/>
          <w:sz w:val="36"/>
        </w:rPr>
        <w:t xml:space="preserve">TERMES DE REFERENCE </w:t>
      </w:r>
    </w:p>
    <w:p w:rsidR="005D02DE" w:rsidRPr="005D02DE" w:rsidRDefault="005D02DE" w:rsidP="005D02DE">
      <w:pPr>
        <w:pStyle w:val="Citationintense"/>
        <w:shd w:val="clear" w:color="auto" w:fill="D9E2F3" w:themeFill="accent5" w:themeFillTint="33"/>
        <w:spacing w:before="0" w:after="0"/>
        <w:ind w:left="-1418" w:right="-1440"/>
        <w:rPr>
          <w:b/>
          <w:i w:val="0"/>
          <w:color w:val="auto"/>
          <w:sz w:val="28"/>
        </w:rPr>
      </w:pPr>
      <w:r w:rsidRPr="005D02DE">
        <w:rPr>
          <w:b/>
          <w:i w:val="0"/>
          <w:color w:val="auto"/>
          <w:sz w:val="28"/>
        </w:rPr>
        <w:t xml:space="preserve">DU CONSULTANT CHARGE  D'EXAMINER LES PRATIQUES EN MATIERE </w:t>
      </w:r>
    </w:p>
    <w:p w:rsidR="005D02DE" w:rsidRPr="005D02DE" w:rsidRDefault="005D02DE" w:rsidP="005D02DE">
      <w:pPr>
        <w:pStyle w:val="Citationintense"/>
        <w:shd w:val="clear" w:color="auto" w:fill="D9E2F3" w:themeFill="accent5" w:themeFillTint="33"/>
        <w:spacing w:before="0" w:after="0"/>
        <w:ind w:left="-1418" w:right="-1440"/>
        <w:rPr>
          <w:b/>
          <w:i w:val="0"/>
          <w:color w:val="auto"/>
          <w:sz w:val="28"/>
        </w:rPr>
      </w:pPr>
      <w:r w:rsidRPr="005D02DE">
        <w:rPr>
          <w:b/>
          <w:i w:val="0"/>
          <w:color w:val="auto"/>
          <w:sz w:val="28"/>
        </w:rPr>
        <w:t xml:space="preserve">D'APPLICATION  DES TAUX ET DES MODALITES DE REPARTITION </w:t>
      </w:r>
    </w:p>
    <w:p w:rsidR="005D02DE" w:rsidRPr="005D02DE" w:rsidRDefault="005D02DE" w:rsidP="005D02DE">
      <w:pPr>
        <w:pStyle w:val="Citationintense"/>
        <w:shd w:val="clear" w:color="auto" w:fill="D9E2F3" w:themeFill="accent5" w:themeFillTint="33"/>
        <w:spacing w:before="0" w:after="0"/>
        <w:ind w:left="-1418" w:right="-1440"/>
        <w:rPr>
          <w:b/>
          <w:i w:val="0"/>
          <w:color w:val="auto"/>
          <w:sz w:val="28"/>
        </w:rPr>
      </w:pPr>
      <w:r w:rsidRPr="005D02DE">
        <w:rPr>
          <w:b/>
          <w:i w:val="0"/>
          <w:color w:val="auto"/>
          <w:sz w:val="28"/>
        </w:rPr>
        <w:t xml:space="preserve">DE LA REDEVANCE MINIERE </w:t>
      </w:r>
    </w:p>
    <w:p w:rsidR="005D02DE" w:rsidRPr="005D02DE" w:rsidRDefault="005D02DE" w:rsidP="005D02DE">
      <w:pPr>
        <w:pStyle w:val="Citationintense"/>
        <w:shd w:val="clear" w:color="auto" w:fill="D9E2F3" w:themeFill="accent5" w:themeFillTint="33"/>
        <w:spacing w:before="0" w:after="0"/>
        <w:ind w:left="-1418" w:right="-1440"/>
        <w:rPr>
          <w:b/>
          <w:i w:val="0"/>
          <w:color w:val="auto"/>
          <w:sz w:val="28"/>
        </w:rPr>
      </w:pPr>
      <w:r w:rsidRPr="005D02DE">
        <w:rPr>
          <w:b/>
          <w:i w:val="0"/>
          <w:color w:val="auto"/>
          <w:sz w:val="28"/>
        </w:rPr>
        <w:t xml:space="preserve">ENTRE LE POUVOIR CENTRAL ET LES PROVINCES </w:t>
      </w:r>
    </w:p>
    <w:p w:rsidR="005D02DE" w:rsidRPr="005D02DE" w:rsidRDefault="005D02DE" w:rsidP="005D02DE">
      <w:pPr>
        <w:pStyle w:val="Citationintense"/>
        <w:shd w:val="clear" w:color="auto" w:fill="D9E2F3" w:themeFill="accent5" w:themeFillTint="33"/>
        <w:spacing w:before="0" w:after="0"/>
        <w:ind w:left="-1418" w:right="-1440"/>
        <w:rPr>
          <w:b/>
          <w:i w:val="0"/>
          <w:color w:val="auto"/>
          <w:sz w:val="28"/>
        </w:rPr>
      </w:pPr>
      <w:r w:rsidRPr="005D02DE">
        <w:rPr>
          <w:b/>
          <w:i w:val="0"/>
          <w:color w:val="auto"/>
          <w:sz w:val="28"/>
        </w:rPr>
        <w:t>EN REPUBLIQUE DEMOCRATIQUE DU CONGO</w:t>
      </w:r>
    </w:p>
    <w:p w:rsidR="005D02DE" w:rsidRDefault="005D02DE" w:rsidP="005D02DE">
      <w:pPr>
        <w:pStyle w:val="Paragraphedeliste"/>
        <w:rPr>
          <w:b/>
          <w:sz w:val="28"/>
          <w:szCs w:val="28"/>
        </w:rPr>
      </w:pPr>
    </w:p>
    <w:p w:rsidR="005D02DE" w:rsidRPr="005D02DE" w:rsidRDefault="005D02DE" w:rsidP="005D02DE">
      <w:pPr>
        <w:pStyle w:val="Paragraphedeliste"/>
        <w:rPr>
          <w:b/>
          <w:sz w:val="28"/>
          <w:szCs w:val="28"/>
        </w:rPr>
      </w:pPr>
    </w:p>
    <w:p w:rsidR="005D02DE" w:rsidRPr="003F32F4" w:rsidRDefault="005D02DE" w:rsidP="005D02DE">
      <w:pPr>
        <w:pStyle w:val="Paragraphedeliste"/>
        <w:numPr>
          <w:ilvl w:val="0"/>
          <w:numId w:val="3"/>
        </w:numPr>
        <w:jc w:val="both"/>
        <w:rPr>
          <w:b/>
          <w:color w:val="000000" w:themeColor="text1"/>
          <w:sz w:val="28"/>
          <w:szCs w:val="28"/>
        </w:rPr>
      </w:pPr>
      <w:r w:rsidRPr="003F32F4">
        <w:rPr>
          <w:b/>
          <w:color w:val="000000" w:themeColor="text1"/>
          <w:sz w:val="28"/>
          <w:szCs w:val="28"/>
        </w:rPr>
        <w:t>Contexte général</w:t>
      </w:r>
    </w:p>
    <w:p w:rsidR="005D02DE" w:rsidRPr="003F32F4" w:rsidRDefault="005D02DE" w:rsidP="005D02DE">
      <w:pPr>
        <w:jc w:val="both"/>
        <w:rPr>
          <w:sz w:val="28"/>
          <w:szCs w:val="28"/>
        </w:rPr>
      </w:pPr>
      <w:r w:rsidRPr="003F32F4">
        <w:rPr>
          <w:sz w:val="28"/>
          <w:szCs w:val="28"/>
        </w:rPr>
        <w:t>L’Initiative pour la Transparence des Industries Extractives (ITIE) a pour objet de renforcer la bonne gouvernance en améliorant la transparence et la responsabilité dans le secteur des industries extractives à travers la collecte, la vérification, la conciliation et la publication de tous les paiements effectués par les entreprises publiques et privées au compte de l’Etat.</w:t>
      </w:r>
    </w:p>
    <w:p w:rsidR="005D02DE" w:rsidRPr="003F32F4" w:rsidRDefault="005D02DE" w:rsidP="005D02DE">
      <w:pPr>
        <w:jc w:val="both"/>
        <w:rPr>
          <w:sz w:val="28"/>
          <w:szCs w:val="28"/>
        </w:rPr>
      </w:pPr>
      <w:r w:rsidRPr="003F32F4">
        <w:rPr>
          <w:sz w:val="28"/>
          <w:szCs w:val="28"/>
        </w:rPr>
        <w:t xml:space="preserve">La mise en œuvre du processus </w:t>
      </w:r>
      <w:r>
        <w:rPr>
          <w:sz w:val="28"/>
          <w:szCs w:val="28"/>
        </w:rPr>
        <w:t>de l’</w:t>
      </w:r>
      <w:r w:rsidRPr="003F32F4">
        <w:rPr>
          <w:sz w:val="28"/>
          <w:szCs w:val="28"/>
        </w:rPr>
        <w:t xml:space="preserve">ITIE est régie par la Norme ITIE qui est un ensemble de règles qui ont été rédigées pour s’assurer que tous les pays membres  de l’ITIE s’engagent à respecter un niveau minimum de transparence à travers des déclarations des paiements versés par les entreprises et des sommes perçues par le gouvernement. La norme encourage la publication d’informations plus pertinentes, plus fiables et plus pratiques tout en garantissant de meilleurs liens avec des réformes élargies. </w:t>
      </w:r>
    </w:p>
    <w:p w:rsidR="005D02DE" w:rsidRPr="003F32F4" w:rsidRDefault="005D02DE" w:rsidP="005D02DE">
      <w:pPr>
        <w:jc w:val="both"/>
        <w:rPr>
          <w:sz w:val="28"/>
          <w:szCs w:val="28"/>
        </w:rPr>
      </w:pPr>
      <w:r>
        <w:rPr>
          <w:sz w:val="28"/>
          <w:szCs w:val="28"/>
        </w:rPr>
        <w:t>Ainsi,</w:t>
      </w:r>
      <w:r w:rsidRPr="003F32F4">
        <w:rPr>
          <w:sz w:val="28"/>
          <w:szCs w:val="28"/>
        </w:rPr>
        <w:t xml:space="preserve"> la Norme ITIE contient principalement : les Principes de l’ITIE, qui  définissent de manière générale les objectifs et les engagements de toutes les parties prenantes et les Exigences de l’ITIE, auxquelles tous les pays mettant en œuvre l’ITIE doivent adhérer.</w:t>
      </w:r>
    </w:p>
    <w:p w:rsidR="005D02DE" w:rsidRPr="003F32F4" w:rsidRDefault="005D02DE" w:rsidP="005D02DE">
      <w:pPr>
        <w:pStyle w:val="Paragraphedeliste"/>
        <w:numPr>
          <w:ilvl w:val="0"/>
          <w:numId w:val="3"/>
        </w:numPr>
        <w:jc w:val="both"/>
        <w:rPr>
          <w:b/>
          <w:color w:val="000000" w:themeColor="text1"/>
          <w:sz w:val="28"/>
          <w:szCs w:val="28"/>
        </w:rPr>
      </w:pPr>
      <w:r w:rsidRPr="003F32F4">
        <w:rPr>
          <w:b/>
          <w:color w:val="000000" w:themeColor="text1"/>
          <w:sz w:val="28"/>
          <w:szCs w:val="28"/>
        </w:rPr>
        <w:t>Contexte spécifique</w:t>
      </w:r>
    </w:p>
    <w:p w:rsidR="00D53EFD" w:rsidRDefault="00D53EFD" w:rsidP="009F3B2F">
      <w:pPr>
        <w:pStyle w:val="Paragraphedeliste"/>
        <w:ind w:left="0"/>
        <w:jc w:val="both"/>
        <w:rPr>
          <w:sz w:val="28"/>
          <w:szCs w:val="28"/>
        </w:rPr>
      </w:pPr>
    </w:p>
    <w:p w:rsidR="009F3B2F" w:rsidRDefault="005D02DE" w:rsidP="009F3B2F">
      <w:pPr>
        <w:pStyle w:val="Paragraphedeliste"/>
        <w:ind w:left="0"/>
        <w:jc w:val="both"/>
        <w:rPr>
          <w:b/>
          <w:sz w:val="28"/>
          <w:szCs w:val="28"/>
        </w:rPr>
      </w:pPr>
      <w:r w:rsidRPr="003F32F4">
        <w:rPr>
          <w:sz w:val="28"/>
          <w:szCs w:val="28"/>
        </w:rPr>
        <w:t>Au nombre des informations à publier dans les Rapports ITIE, la Norme</w:t>
      </w:r>
      <w:r>
        <w:rPr>
          <w:sz w:val="28"/>
          <w:szCs w:val="28"/>
        </w:rPr>
        <w:t xml:space="preserve"> reprend </w:t>
      </w:r>
      <w:r w:rsidRPr="003F32F4">
        <w:rPr>
          <w:sz w:val="28"/>
          <w:szCs w:val="28"/>
        </w:rPr>
        <w:t xml:space="preserve"> </w:t>
      </w:r>
      <w:r w:rsidR="009F3B2F">
        <w:rPr>
          <w:b/>
          <w:sz w:val="28"/>
          <w:szCs w:val="28"/>
        </w:rPr>
        <w:t xml:space="preserve">les </w:t>
      </w:r>
      <w:r w:rsidR="009F3B2F" w:rsidRPr="005D02DE">
        <w:rPr>
          <w:b/>
          <w:sz w:val="28"/>
          <w:szCs w:val="28"/>
        </w:rPr>
        <w:t xml:space="preserve">Transferts infranationaux </w:t>
      </w:r>
      <w:r w:rsidR="009F3B2F">
        <w:rPr>
          <w:b/>
          <w:sz w:val="28"/>
          <w:szCs w:val="28"/>
        </w:rPr>
        <w:t>(E</w:t>
      </w:r>
      <w:r w:rsidR="009F3B2F" w:rsidRPr="005D02DE">
        <w:rPr>
          <w:b/>
          <w:sz w:val="28"/>
          <w:szCs w:val="28"/>
        </w:rPr>
        <w:t>xigence 5.2 de la norme ITIE 2016)</w:t>
      </w:r>
      <w:r w:rsidR="009F3B2F">
        <w:rPr>
          <w:b/>
          <w:sz w:val="28"/>
          <w:szCs w:val="28"/>
        </w:rPr>
        <w:t>.</w:t>
      </w:r>
    </w:p>
    <w:p w:rsidR="009F3B2F" w:rsidRDefault="009F3B2F" w:rsidP="009F3B2F">
      <w:pPr>
        <w:pStyle w:val="Paragraphedeliste"/>
        <w:ind w:left="0"/>
        <w:jc w:val="both"/>
        <w:rPr>
          <w:b/>
          <w:sz w:val="28"/>
          <w:szCs w:val="28"/>
        </w:rPr>
      </w:pPr>
    </w:p>
    <w:p w:rsidR="007E7894" w:rsidRDefault="007E7894" w:rsidP="00D90BD7">
      <w:pPr>
        <w:pStyle w:val="Paragraphedeliste"/>
        <w:ind w:left="0"/>
        <w:jc w:val="both"/>
        <w:rPr>
          <w:sz w:val="28"/>
          <w:szCs w:val="28"/>
        </w:rPr>
      </w:pPr>
    </w:p>
    <w:p w:rsidR="009F3B2F" w:rsidRDefault="00E76CD4" w:rsidP="00D90BD7">
      <w:pPr>
        <w:pStyle w:val="Paragraphedeliste"/>
        <w:ind w:left="0"/>
        <w:jc w:val="both"/>
        <w:rPr>
          <w:sz w:val="28"/>
          <w:szCs w:val="28"/>
        </w:rPr>
      </w:pPr>
      <w:r>
        <w:rPr>
          <w:sz w:val="28"/>
          <w:szCs w:val="28"/>
        </w:rPr>
        <w:t>En effet, e</w:t>
      </w:r>
      <w:r w:rsidR="009F3B2F" w:rsidRPr="009F3B2F">
        <w:rPr>
          <w:sz w:val="28"/>
          <w:szCs w:val="28"/>
        </w:rPr>
        <w:t>n République Démocratique</w:t>
      </w:r>
      <w:r w:rsidR="009F3B2F">
        <w:rPr>
          <w:sz w:val="28"/>
          <w:szCs w:val="28"/>
        </w:rPr>
        <w:t xml:space="preserve"> du Congo, le </w:t>
      </w:r>
      <w:r w:rsidR="00AD2E47">
        <w:rPr>
          <w:sz w:val="28"/>
          <w:szCs w:val="28"/>
        </w:rPr>
        <w:t>Code Minier</w:t>
      </w:r>
      <w:r w:rsidR="00D90BD7">
        <w:rPr>
          <w:sz w:val="28"/>
          <w:szCs w:val="28"/>
        </w:rPr>
        <w:t xml:space="preserve">, loi qui </w:t>
      </w:r>
      <w:r w:rsidR="00D90BD7" w:rsidRPr="00D90BD7">
        <w:rPr>
          <w:sz w:val="28"/>
          <w:szCs w:val="28"/>
        </w:rPr>
        <w:t>définit ce qu'est une </w:t>
      </w:r>
      <w:hyperlink r:id="rId8" w:tooltip="Mines en France" w:history="1">
        <w:r w:rsidR="00D90BD7" w:rsidRPr="00D90BD7">
          <w:rPr>
            <w:sz w:val="28"/>
            <w:szCs w:val="28"/>
          </w:rPr>
          <w:t>mine</w:t>
        </w:r>
      </w:hyperlink>
      <w:r w:rsidR="00D90BD7" w:rsidRPr="00D90BD7">
        <w:rPr>
          <w:sz w:val="28"/>
          <w:szCs w:val="28"/>
        </w:rPr>
        <w:t> et les conditions dans lesquelles elle peu</w:t>
      </w:r>
      <w:r w:rsidR="00095CE1">
        <w:rPr>
          <w:sz w:val="28"/>
          <w:szCs w:val="28"/>
        </w:rPr>
        <w:t>t</w:t>
      </w:r>
      <w:r w:rsidR="00D90BD7" w:rsidRPr="00D90BD7">
        <w:rPr>
          <w:sz w:val="28"/>
          <w:szCs w:val="28"/>
        </w:rPr>
        <w:t xml:space="preserve"> être exploitée</w:t>
      </w:r>
      <w:r w:rsidR="00D90BD7">
        <w:rPr>
          <w:sz w:val="28"/>
          <w:szCs w:val="28"/>
        </w:rPr>
        <w:t xml:space="preserve">, mentionne naturellement les règles </w:t>
      </w:r>
      <w:r w:rsidR="00D90BD7" w:rsidRPr="00D90BD7">
        <w:rPr>
          <w:sz w:val="28"/>
          <w:szCs w:val="28"/>
        </w:rPr>
        <w:t>en matière de l’application  des taux et des modalités de partage des recettes extractives dans l’objectif de sauvegarder les intérêts des provinces et par  conséquent les populations locales.</w:t>
      </w:r>
    </w:p>
    <w:p w:rsidR="00D53EFD" w:rsidRDefault="00D53EFD" w:rsidP="00D90BD7">
      <w:pPr>
        <w:pStyle w:val="Paragraphedeliste"/>
        <w:ind w:left="0"/>
        <w:jc w:val="both"/>
        <w:rPr>
          <w:sz w:val="28"/>
          <w:szCs w:val="28"/>
        </w:rPr>
      </w:pPr>
    </w:p>
    <w:p w:rsidR="00E76CD4" w:rsidRPr="00E76CD4" w:rsidRDefault="000540E6" w:rsidP="00D90BD7">
      <w:pPr>
        <w:pStyle w:val="Paragraphedeliste"/>
        <w:ind w:left="0"/>
        <w:jc w:val="both"/>
        <w:rPr>
          <w:sz w:val="28"/>
          <w:szCs w:val="28"/>
        </w:rPr>
      </w:pPr>
      <w:r w:rsidRPr="00CF3CB7">
        <w:rPr>
          <w:sz w:val="28"/>
          <w:szCs w:val="28"/>
        </w:rPr>
        <w:t xml:space="preserve">Bien </w:t>
      </w:r>
      <w:r w:rsidR="00E76CD4" w:rsidRPr="00CF3CB7">
        <w:rPr>
          <w:sz w:val="28"/>
          <w:szCs w:val="28"/>
        </w:rPr>
        <w:t>que</w:t>
      </w:r>
      <w:r w:rsidR="00E76CD4" w:rsidRPr="00E76CD4">
        <w:rPr>
          <w:sz w:val="28"/>
          <w:szCs w:val="28"/>
        </w:rPr>
        <w:t xml:space="preserve"> le Code minier recommande la rétrocession de 25% et 15% des redevances minières aux provinces et aux communautés locales, l’</w:t>
      </w:r>
      <w:r w:rsidR="00E76CD4">
        <w:rPr>
          <w:sz w:val="28"/>
          <w:szCs w:val="28"/>
        </w:rPr>
        <w:t xml:space="preserve">on </w:t>
      </w:r>
      <w:r w:rsidR="004F2000">
        <w:rPr>
          <w:sz w:val="28"/>
          <w:szCs w:val="28"/>
        </w:rPr>
        <w:t>observe</w:t>
      </w:r>
      <w:r w:rsidR="00E76CD4">
        <w:rPr>
          <w:sz w:val="28"/>
          <w:szCs w:val="28"/>
        </w:rPr>
        <w:t xml:space="preserve">  </w:t>
      </w:r>
      <w:r w:rsidR="00E76CD4" w:rsidRPr="00E76CD4">
        <w:rPr>
          <w:sz w:val="28"/>
          <w:szCs w:val="28"/>
        </w:rPr>
        <w:t>le non-respect de cette disposition</w:t>
      </w:r>
      <w:r w:rsidR="00BD15A9">
        <w:rPr>
          <w:sz w:val="28"/>
          <w:szCs w:val="28"/>
        </w:rPr>
        <w:t xml:space="preserve">. </w:t>
      </w:r>
      <w:r w:rsidR="00B1411E">
        <w:rPr>
          <w:sz w:val="28"/>
          <w:szCs w:val="28"/>
        </w:rPr>
        <w:t>C</w:t>
      </w:r>
      <w:r w:rsidR="00E76CD4" w:rsidRPr="00E76CD4">
        <w:rPr>
          <w:sz w:val="28"/>
          <w:szCs w:val="28"/>
        </w:rPr>
        <w:t>e</w:t>
      </w:r>
      <w:r w:rsidR="00BD15A9">
        <w:rPr>
          <w:sz w:val="28"/>
          <w:szCs w:val="28"/>
        </w:rPr>
        <w:t>ci</w:t>
      </w:r>
      <w:r w:rsidR="00E76CD4" w:rsidRPr="00E76CD4">
        <w:rPr>
          <w:sz w:val="28"/>
          <w:szCs w:val="28"/>
        </w:rPr>
        <w:t xml:space="preserve"> suscite des inégalités, faisant </w:t>
      </w:r>
      <w:r w:rsidR="00E76CD4">
        <w:rPr>
          <w:sz w:val="28"/>
          <w:szCs w:val="28"/>
        </w:rPr>
        <w:t xml:space="preserve">ainsi </w:t>
      </w:r>
      <w:r w:rsidR="00E76CD4" w:rsidRPr="00E76CD4">
        <w:rPr>
          <w:sz w:val="28"/>
          <w:szCs w:val="28"/>
        </w:rPr>
        <w:t xml:space="preserve">naître </w:t>
      </w:r>
      <w:r w:rsidR="004F2000">
        <w:rPr>
          <w:sz w:val="28"/>
          <w:szCs w:val="28"/>
        </w:rPr>
        <w:t>de divers</w:t>
      </w:r>
      <w:r w:rsidR="00E76CD4" w:rsidRPr="00E76CD4">
        <w:rPr>
          <w:sz w:val="28"/>
          <w:szCs w:val="28"/>
        </w:rPr>
        <w:t xml:space="preserve"> conflits </w:t>
      </w:r>
      <w:r w:rsidR="00E76CD4">
        <w:rPr>
          <w:sz w:val="28"/>
          <w:szCs w:val="28"/>
        </w:rPr>
        <w:t xml:space="preserve">qui </w:t>
      </w:r>
      <w:r w:rsidR="00E30FEF">
        <w:rPr>
          <w:sz w:val="28"/>
          <w:szCs w:val="28"/>
        </w:rPr>
        <w:t>retardent</w:t>
      </w:r>
      <w:r w:rsidR="00E76CD4">
        <w:rPr>
          <w:sz w:val="28"/>
          <w:szCs w:val="28"/>
        </w:rPr>
        <w:t xml:space="preserve"> le progrès du pays et </w:t>
      </w:r>
      <w:r w:rsidR="00E30FEF">
        <w:rPr>
          <w:sz w:val="28"/>
          <w:szCs w:val="28"/>
        </w:rPr>
        <w:t xml:space="preserve">freinent </w:t>
      </w:r>
      <w:r w:rsidR="00E76CD4">
        <w:rPr>
          <w:sz w:val="28"/>
          <w:szCs w:val="28"/>
        </w:rPr>
        <w:t>l’économie nationale.</w:t>
      </w:r>
    </w:p>
    <w:p w:rsidR="00E76CD4" w:rsidRDefault="00E76CD4" w:rsidP="00D90BD7">
      <w:pPr>
        <w:pStyle w:val="Paragraphedeliste"/>
        <w:ind w:left="0"/>
        <w:jc w:val="both"/>
      </w:pPr>
    </w:p>
    <w:p w:rsidR="00D90BD7" w:rsidRDefault="00B44515" w:rsidP="00D90BD7">
      <w:pPr>
        <w:pStyle w:val="Paragraphedeliste"/>
        <w:ind w:left="0"/>
        <w:jc w:val="both"/>
        <w:rPr>
          <w:sz w:val="28"/>
          <w:szCs w:val="28"/>
        </w:rPr>
      </w:pPr>
      <w:r>
        <w:rPr>
          <w:sz w:val="28"/>
          <w:szCs w:val="28"/>
        </w:rPr>
        <w:t xml:space="preserve">Comme la Norme ITIE l’indique à l’Exigence 4.9,  l’Administrateur Indépendant chargé de réconcilier les paiements des entreprises et les revenus de l’Etat pour le Rapport ITIE-RDC 2014 a émis son opinion sur les transferts infranationaux et a recommandé </w:t>
      </w:r>
      <w:r w:rsidRPr="00B44515">
        <w:rPr>
          <w:sz w:val="28"/>
          <w:szCs w:val="28"/>
        </w:rPr>
        <w:t xml:space="preserve">au Comité Exécutif de sensibiliser les parties prenantes pour veiller au respect de la réglementation en vigueur notamment en matière de l’application  des taux et des modalités de partage des recettes extractives. </w:t>
      </w:r>
    </w:p>
    <w:p w:rsidR="00B44515" w:rsidRDefault="00B44515" w:rsidP="00D90BD7">
      <w:pPr>
        <w:pStyle w:val="Paragraphedeliste"/>
        <w:ind w:left="0"/>
        <w:jc w:val="both"/>
        <w:rPr>
          <w:sz w:val="28"/>
          <w:szCs w:val="28"/>
        </w:rPr>
      </w:pPr>
    </w:p>
    <w:p w:rsidR="004F2000" w:rsidRPr="004F2000" w:rsidRDefault="004F2000" w:rsidP="004F2000">
      <w:pPr>
        <w:pStyle w:val="Paragraphedeliste"/>
        <w:numPr>
          <w:ilvl w:val="0"/>
          <w:numId w:val="3"/>
        </w:numPr>
        <w:jc w:val="both"/>
        <w:rPr>
          <w:b/>
          <w:color w:val="000000" w:themeColor="text1"/>
          <w:sz w:val="28"/>
          <w:szCs w:val="28"/>
        </w:rPr>
      </w:pPr>
      <w:r w:rsidRPr="004F2000">
        <w:rPr>
          <w:b/>
          <w:color w:val="000000" w:themeColor="text1"/>
          <w:sz w:val="28"/>
          <w:szCs w:val="28"/>
        </w:rPr>
        <w:t>Objet</w:t>
      </w:r>
    </w:p>
    <w:p w:rsidR="00CD44CF" w:rsidRDefault="00CD44CF" w:rsidP="00CD44CF">
      <w:pPr>
        <w:pStyle w:val="Paragraphedeliste"/>
        <w:ind w:left="0"/>
        <w:jc w:val="both"/>
        <w:rPr>
          <w:sz w:val="28"/>
          <w:szCs w:val="28"/>
        </w:rPr>
      </w:pPr>
      <w:r w:rsidRPr="006C755A">
        <w:rPr>
          <w:rFonts w:cs="Tahoma"/>
          <w:sz w:val="28"/>
          <w:szCs w:val="28"/>
        </w:rPr>
        <w:t>Les présents Termes de Référence ont pour objet</w:t>
      </w:r>
      <w:r>
        <w:rPr>
          <w:sz w:val="28"/>
          <w:szCs w:val="28"/>
        </w:rPr>
        <w:t xml:space="preserve"> la réalisation d’une étude pour ressortir  les raisons qui font que le Gouvernement central ne rétrocède pas ou presque pas  les quotités légales </w:t>
      </w:r>
      <w:r w:rsidR="002E44FC">
        <w:rPr>
          <w:sz w:val="28"/>
          <w:szCs w:val="28"/>
        </w:rPr>
        <w:t xml:space="preserve">de la redevance minière </w:t>
      </w:r>
      <w:r>
        <w:rPr>
          <w:sz w:val="28"/>
          <w:szCs w:val="28"/>
        </w:rPr>
        <w:t>aux provinces et aux localités et proposer des solutions</w:t>
      </w:r>
      <w:r w:rsidR="00CD268D">
        <w:rPr>
          <w:sz w:val="28"/>
          <w:szCs w:val="28"/>
        </w:rPr>
        <w:t xml:space="preserve"> idoines dans le but de répondre à la recommandation de l’Administrateur Indépendant comme la Norme ITIE l’exige.</w:t>
      </w:r>
    </w:p>
    <w:p w:rsidR="00CD268D" w:rsidRDefault="00CD268D" w:rsidP="004F2000">
      <w:pPr>
        <w:pStyle w:val="Paragraphedeliste"/>
        <w:ind w:left="0"/>
        <w:jc w:val="both"/>
        <w:rPr>
          <w:rFonts w:cs="Tahoma"/>
          <w:sz w:val="28"/>
          <w:szCs w:val="28"/>
        </w:rPr>
      </w:pPr>
    </w:p>
    <w:p w:rsidR="005D02DE" w:rsidRPr="00FE51CA" w:rsidRDefault="005D02DE" w:rsidP="005D02DE">
      <w:pPr>
        <w:pStyle w:val="Paragraphedeliste"/>
        <w:numPr>
          <w:ilvl w:val="0"/>
          <w:numId w:val="3"/>
        </w:numPr>
        <w:jc w:val="both"/>
        <w:rPr>
          <w:b/>
          <w:color w:val="000000" w:themeColor="text1"/>
          <w:sz w:val="28"/>
          <w:szCs w:val="28"/>
        </w:rPr>
      </w:pPr>
      <w:r w:rsidRPr="00FE51CA">
        <w:rPr>
          <w:b/>
          <w:color w:val="000000" w:themeColor="text1"/>
          <w:sz w:val="28"/>
          <w:szCs w:val="28"/>
        </w:rPr>
        <w:t>Mission du Consultant</w:t>
      </w:r>
    </w:p>
    <w:p w:rsidR="00654EB9" w:rsidRDefault="002E44FC" w:rsidP="00654EB9">
      <w:pPr>
        <w:tabs>
          <w:tab w:val="left" w:pos="0"/>
        </w:tabs>
        <w:autoSpaceDE w:val="0"/>
        <w:autoSpaceDN w:val="0"/>
        <w:adjustRightInd w:val="0"/>
        <w:spacing w:after="0" w:line="240" w:lineRule="auto"/>
        <w:jc w:val="both"/>
        <w:rPr>
          <w:rFonts w:cs="Lucida Sans"/>
          <w:color w:val="000000" w:themeColor="text1"/>
          <w:sz w:val="28"/>
          <w:szCs w:val="28"/>
        </w:rPr>
      </w:pPr>
      <w:r>
        <w:rPr>
          <w:rFonts w:cs="Lucida Sans"/>
          <w:color w:val="000000" w:themeColor="text1"/>
          <w:sz w:val="28"/>
          <w:szCs w:val="28"/>
        </w:rPr>
        <w:t>A la suite de l’avis à manifestation d’intérêt</w:t>
      </w:r>
      <w:r w:rsidRPr="003F32F4">
        <w:rPr>
          <w:rFonts w:cs="Lucida Sans"/>
          <w:color w:val="000000" w:themeColor="text1"/>
          <w:sz w:val="28"/>
          <w:szCs w:val="28"/>
        </w:rPr>
        <w:t xml:space="preserve"> </w:t>
      </w:r>
      <w:r>
        <w:rPr>
          <w:rFonts w:cs="Lucida Sans"/>
          <w:color w:val="000000" w:themeColor="text1"/>
          <w:sz w:val="28"/>
          <w:szCs w:val="28"/>
        </w:rPr>
        <w:t>que publiera l</w:t>
      </w:r>
      <w:r w:rsidR="005D02DE" w:rsidRPr="003F32F4">
        <w:rPr>
          <w:rFonts w:cs="Lucida Sans"/>
          <w:color w:val="000000" w:themeColor="text1"/>
          <w:sz w:val="28"/>
          <w:szCs w:val="28"/>
        </w:rPr>
        <w:t xml:space="preserve">e </w:t>
      </w:r>
      <w:r>
        <w:rPr>
          <w:rFonts w:cs="Lucida Sans"/>
          <w:color w:val="000000" w:themeColor="text1"/>
          <w:sz w:val="28"/>
          <w:szCs w:val="28"/>
        </w:rPr>
        <w:t>Comité National  de l’ITIE-RDC, commanditaire principal de l’étude à effectuer, le Consultant</w:t>
      </w:r>
      <w:r w:rsidR="00654EB9">
        <w:rPr>
          <w:rFonts w:cs="Lucida Sans"/>
          <w:color w:val="000000" w:themeColor="text1"/>
          <w:sz w:val="28"/>
          <w:szCs w:val="28"/>
        </w:rPr>
        <w:t xml:space="preserve"> ainsi recruté, </w:t>
      </w:r>
      <w:r w:rsidR="005D02DE" w:rsidRPr="003F32F4">
        <w:rPr>
          <w:rFonts w:cs="Lucida Sans"/>
          <w:color w:val="000000" w:themeColor="text1"/>
          <w:sz w:val="28"/>
          <w:szCs w:val="28"/>
        </w:rPr>
        <w:t xml:space="preserve">aura </w:t>
      </w:r>
      <w:r w:rsidR="005D02DE">
        <w:rPr>
          <w:rFonts w:cs="Lucida Sans"/>
          <w:color w:val="000000" w:themeColor="text1"/>
          <w:sz w:val="28"/>
          <w:szCs w:val="28"/>
        </w:rPr>
        <w:t>pour</w:t>
      </w:r>
      <w:r w:rsidR="005D02DE" w:rsidRPr="003F32F4">
        <w:rPr>
          <w:rFonts w:cs="Lucida Sans"/>
          <w:color w:val="000000" w:themeColor="text1"/>
          <w:sz w:val="28"/>
          <w:szCs w:val="28"/>
        </w:rPr>
        <w:t xml:space="preserve"> mission</w:t>
      </w:r>
      <w:r w:rsidR="00654EB9">
        <w:rPr>
          <w:rFonts w:cs="Lucida Sans"/>
          <w:color w:val="000000" w:themeColor="text1"/>
          <w:sz w:val="28"/>
          <w:szCs w:val="28"/>
        </w:rPr>
        <w:t> :</w:t>
      </w:r>
    </w:p>
    <w:p w:rsidR="00654EB9" w:rsidRDefault="00654EB9" w:rsidP="00654EB9">
      <w:pPr>
        <w:pStyle w:val="Paragraphedeliste"/>
        <w:numPr>
          <w:ilvl w:val="0"/>
          <w:numId w:val="6"/>
        </w:numPr>
        <w:jc w:val="both"/>
        <w:rPr>
          <w:sz w:val="28"/>
          <w:szCs w:val="28"/>
        </w:rPr>
      </w:pPr>
      <w:r>
        <w:rPr>
          <w:sz w:val="28"/>
          <w:szCs w:val="28"/>
        </w:rPr>
        <w:t>de r</w:t>
      </w:r>
      <w:r w:rsidRPr="00A06E4F">
        <w:rPr>
          <w:sz w:val="28"/>
          <w:szCs w:val="28"/>
        </w:rPr>
        <w:t xml:space="preserve">assembler toute la documentation sur les </w:t>
      </w:r>
      <w:r>
        <w:rPr>
          <w:sz w:val="28"/>
          <w:szCs w:val="28"/>
        </w:rPr>
        <w:t>transferts infranationaux</w:t>
      </w:r>
      <w:r w:rsidRPr="00A06E4F">
        <w:rPr>
          <w:sz w:val="28"/>
          <w:szCs w:val="28"/>
        </w:rPr>
        <w:t xml:space="preserve"> dans le système de gestion gouvernementale de la RDC</w:t>
      </w:r>
      <w:r>
        <w:rPr>
          <w:sz w:val="28"/>
          <w:szCs w:val="28"/>
        </w:rPr>
        <w:t> ;</w:t>
      </w:r>
    </w:p>
    <w:p w:rsidR="007E7894" w:rsidRDefault="007E7894" w:rsidP="007E7894">
      <w:pPr>
        <w:pStyle w:val="Paragraphedeliste"/>
        <w:jc w:val="both"/>
        <w:rPr>
          <w:sz w:val="28"/>
          <w:szCs w:val="28"/>
        </w:rPr>
      </w:pPr>
    </w:p>
    <w:p w:rsidR="007E7894" w:rsidRDefault="007E7894" w:rsidP="007E7894">
      <w:pPr>
        <w:pStyle w:val="Paragraphedeliste"/>
        <w:jc w:val="both"/>
        <w:rPr>
          <w:sz w:val="28"/>
          <w:szCs w:val="28"/>
        </w:rPr>
      </w:pPr>
    </w:p>
    <w:p w:rsidR="00654EB9" w:rsidRDefault="00654EB9" w:rsidP="00654EB9">
      <w:pPr>
        <w:pStyle w:val="Paragraphedeliste"/>
        <w:numPr>
          <w:ilvl w:val="0"/>
          <w:numId w:val="6"/>
        </w:numPr>
        <w:jc w:val="both"/>
        <w:rPr>
          <w:sz w:val="28"/>
          <w:szCs w:val="28"/>
        </w:rPr>
      </w:pPr>
      <w:r>
        <w:rPr>
          <w:sz w:val="28"/>
          <w:szCs w:val="28"/>
        </w:rPr>
        <w:t>d’i</w:t>
      </w:r>
      <w:r w:rsidRPr="00A06E4F">
        <w:rPr>
          <w:sz w:val="28"/>
          <w:szCs w:val="28"/>
        </w:rPr>
        <w:t>nventorier toutes les taxes non prévues dans le Code Minier et présenter les exposés de motif q</w:t>
      </w:r>
      <w:r>
        <w:rPr>
          <w:sz w:val="28"/>
          <w:szCs w:val="28"/>
        </w:rPr>
        <w:t>ui ont concouru à leur création ;</w:t>
      </w:r>
    </w:p>
    <w:p w:rsidR="00486086" w:rsidRPr="00486086" w:rsidRDefault="00486086" w:rsidP="00486086">
      <w:pPr>
        <w:pStyle w:val="Paragraphedeliste"/>
        <w:numPr>
          <w:ilvl w:val="0"/>
          <w:numId w:val="6"/>
        </w:numPr>
        <w:jc w:val="both"/>
        <w:rPr>
          <w:sz w:val="28"/>
          <w:szCs w:val="28"/>
        </w:rPr>
      </w:pPr>
      <w:r>
        <w:rPr>
          <w:sz w:val="28"/>
          <w:szCs w:val="28"/>
        </w:rPr>
        <w:t xml:space="preserve">de publier </w:t>
      </w:r>
      <w:r w:rsidR="000A24F7">
        <w:rPr>
          <w:sz w:val="28"/>
          <w:szCs w:val="28"/>
        </w:rPr>
        <w:t xml:space="preserve">avant le </w:t>
      </w:r>
      <w:r w:rsidR="006103BE">
        <w:rPr>
          <w:sz w:val="28"/>
          <w:szCs w:val="28"/>
        </w:rPr>
        <w:t>24</w:t>
      </w:r>
      <w:r w:rsidR="000A24F7">
        <w:rPr>
          <w:sz w:val="28"/>
          <w:szCs w:val="28"/>
        </w:rPr>
        <w:t xml:space="preserve"> juin 2016 </w:t>
      </w:r>
      <w:r>
        <w:rPr>
          <w:sz w:val="28"/>
          <w:szCs w:val="28"/>
        </w:rPr>
        <w:t>l’étude effectuée exposant les résultats de l’analyse devant contenir entre autres :</w:t>
      </w:r>
    </w:p>
    <w:p w:rsidR="00654EB9" w:rsidRPr="00A06E4F" w:rsidRDefault="00486086" w:rsidP="00486086">
      <w:pPr>
        <w:pStyle w:val="Paragraphedeliste"/>
        <w:numPr>
          <w:ilvl w:val="0"/>
          <w:numId w:val="6"/>
        </w:numPr>
        <w:ind w:left="1134"/>
        <w:jc w:val="both"/>
        <w:rPr>
          <w:sz w:val="28"/>
          <w:szCs w:val="28"/>
        </w:rPr>
      </w:pPr>
      <w:r>
        <w:rPr>
          <w:sz w:val="28"/>
          <w:szCs w:val="28"/>
        </w:rPr>
        <w:t>l’</w:t>
      </w:r>
      <w:r w:rsidR="00654EB9" w:rsidRPr="00A06E4F">
        <w:rPr>
          <w:sz w:val="28"/>
          <w:szCs w:val="28"/>
        </w:rPr>
        <w:t>avis sur le non-respect des dispositions de l'Article 242 du Code Minier relatives à la répa</w:t>
      </w:r>
      <w:r w:rsidR="00654EB9">
        <w:rPr>
          <w:sz w:val="28"/>
          <w:szCs w:val="28"/>
        </w:rPr>
        <w:t>rtition de la Redevance Minière ;</w:t>
      </w:r>
    </w:p>
    <w:p w:rsidR="00654EB9" w:rsidRPr="009736D9" w:rsidRDefault="00486086" w:rsidP="00486086">
      <w:pPr>
        <w:pStyle w:val="Paragraphedeliste"/>
        <w:numPr>
          <w:ilvl w:val="0"/>
          <w:numId w:val="6"/>
        </w:numPr>
        <w:ind w:left="1134"/>
        <w:jc w:val="both"/>
        <w:rPr>
          <w:sz w:val="28"/>
          <w:szCs w:val="28"/>
        </w:rPr>
      </w:pPr>
      <w:r>
        <w:rPr>
          <w:sz w:val="28"/>
          <w:szCs w:val="28"/>
        </w:rPr>
        <w:t>les</w:t>
      </w:r>
      <w:r w:rsidR="00654EB9" w:rsidRPr="009736D9">
        <w:rPr>
          <w:sz w:val="28"/>
          <w:szCs w:val="28"/>
        </w:rPr>
        <w:t xml:space="preserve"> recommandation</w:t>
      </w:r>
      <w:r w:rsidR="00654EB9">
        <w:rPr>
          <w:sz w:val="28"/>
          <w:szCs w:val="28"/>
        </w:rPr>
        <w:t xml:space="preserve">s </w:t>
      </w:r>
      <w:r w:rsidR="000A24F7">
        <w:rPr>
          <w:sz w:val="28"/>
          <w:szCs w:val="28"/>
        </w:rPr>
        <w:t xml:space="preserve">pour les </w:t>
      </w:r>
      <w:r w:rsidR="00CD268D">
        <w:rPr>
          <w:sz w:val="28"/>
          <w:szCs w:val="28"/>
        </w:rPr>
        <w:t xml:space="preserve"> réforme</w:t>
      </w:r>
      <w:r w:rsidR="000A24F7">
        <w:rPr>
          <w:sz w:val="28"/>
          <w:szCs w:val="28"/>
        </w:rPr>
        <w:t>s</w:t>
      </w:r>
      <w:r w:rsidR="00410880">
        <w:rPr>
          <w:sz w:val="28"/>
          <w:szCs w:val="28"/>
        </w:rPr>
        <w:t>.</w:t>
      </w:r>
    </w:p>
    <w:p w:rsidR="005D02DE" w:rsidRPr="003F32F4" w:rsidRDefault="005D02DE" w:rsidP="00654EB9">
      <w:pPr>
        <w:tabs>
          <w:tab w:val="left" w:pos="0"/>
        </w:tabs>
        <w:autoSpaceDE w:val="0"/>
        <w:autoSpaceDN w:val="0"/>
        <w:adjustRightInd w:val="0"/>
        <w:spacing w:after="0" w:line="240" w:lineRule="auto"/>
        <w:jc w:val="both"/>
        <w:rPr>
          <w:rFonts w:cs="Lucida Sans"/>
          <w:color w:val="000000" w:themeColor="text1"/>
          <w:sz w:val="28"/>
          <w:szCs w:val="28"/>
        </w:rPr>
      </w:pPr>
    </w:p>
    <w:p w:rsidR="00BF63E3" w:rsidRDefault="00BF63E3" w:rsidP="00E21788">
      <w:pPr>
        <w:ind w:firstLine="4395"/>
        <w:jc w:val="center"/>
        <w:rPr>
          <w:rFonts w:cs="Tahoma"/>
          <w:b/>
          <w:color w:val="000000" w:themeColor="text1"/>
          <w:sz w:val="28"/>
          <w:szCs w:val="28"/>
        </w:rPr>
      </w:pPr>
      <w:r w:rsidRPr="003F32F4">
        <w:rPr>
          <w:rFonts w:cs="Tahoma"/>
          <w:b/>
          <w:color w:val="000000" w:themeColor="text1"/>
          <w:sz w:val="28"/>
          <w:szCs w:val="28"/>
        </w:rPr>
        <w:t xml:space="preserve">Fait à Kinshasa le  </w:t>
      </w:r>
      <w:r w:rsidR="00410880">
        <w:rPr>
          <w:rFonts w:cs="Tahoma"/>
          <w:b/>
          <w:color w:val="000000" w:themeColor="text1"/>
          <w:sz w:val="28"/>
          <w:szCs w:val="28"/>
        </w:rPr>
        <w:t>11</w:t>
      </w:r>
      <w:r w:rsidRPr="003F32F4">
        <w:rPr>
          <w:rFonts w:cs="Tahoma"/>
          <w:b/>
          <w:color w:val="000000" w:themeColor="text1"/>
          <w:sz w:val="28"/>
          <w:szCs w:val="28"/>
        </w:rPr>
        <w:t>/04/2016</w:t>
      </w:r>
    </w:p>
    <w:p w:rsidR="00E21788" w:rsidRDefault="005D02DE" w:rsidP="00E21788">
      <w:pPr>
        <w:ind w:firstLine="4395"/>
        <w:jc w:val="center"/>
        <w:rPr>
          <w:rFonts w:cs="Tahoma"/>
          <w:b/>
          <w:color w:val="000000" w:themeColor="text1"/>
          <w:sz w:val="28"/>
          <w:szCs w:val="28"/>
        </w:rPr>
      </w:pPr>
      <w:r w:rsidRPr="003F32F4">
        <w:rPr>
          <w:rFonts w:cs="Tahoma"/>
          <w:b/>
          <w:color w:val="000000" w:themeColor="text1"/>
          <w:sz w:val="28"/>
          <w:szCs w:val="28"/>
        </w:rPr>
        <w:t>Secr</w:t>
      </w:r>
      <w:r w:rsidR="002A36D0">
        <w:rPr>
          <w:rFonts w:cs="Tahoma"/>
          <w:b/>
          <w:color w:val="000000" w:themeColor="text1"/>
          <w:sz w:val="28"/>
          <w:szCs w:val="28"/>
        </w:rPr>
        <w:t>étariat Technique de l’ITIE-RDC</w:t>
      </w:r>
    </w:p>
    <w:p w:rsidR="00E21788" w:rsidRDefault="00E21788" w:rsidP="00E21788">
      <w:pPr>
        <w:ind w:firstLine="4395"/>
        <w:jc w:val="center"/>
        <w:rPr>
          <w:rFonts w:cs="Tahoma"/>
          <w:b/>
          <w:color w:val="000000" w:themeColor="text1"/>
          <w:sz w:val="28"/>
          <w:szCs w:val="28"/>
        </w:rPr>
      </w:pPr>
    </w:p>
    <w:p w:rsidR="00E21788" w:rsidRPr="00E21788" w:rsidRDefault="00E21788" w:rsidP="00E21788">
      <w:pPr>
        <w:spacing w:after="0"/>
        <w:ind w:firstLine="4395"/>
        <w:jc w:val="center"/>
        <w:rPr>
          <w:rFonts w:cs="Tahoma"/>
          <w:b/>
          <w:color w:val="000000" w:themeColor="text1"/>
          <w:sz w:val="28"/>
          <w:szCs w:val="28"/>
          <w:u w:val="single"/>
        </w:rPr>
      </w:pPr>
      <w:r w:rsidRPr="00E21788">
        <w:rPr>
          <w:rFonts w:cs="Tahoma"/>
          <w:b/>
          <w:color w:val="000000" w:themeColor="text1"/>
          <w:sz w:val="28"/>
          <w:szCs w:val="28"/>
          <w:u w:val="single"/>
        </w:rPr>
        <w:t xml:space="preserve">Claude </w:t>
      </w:r>
      <w:proofErr w:type="spellStart"/>
      <w:r w:rsidRPr="00E21788">
        <w:rPr>
          <w:rFonts w:cs="Tahoma"/>
          <w:b/>
          <w:color w:val="000000" w:themeColor="text1"/>
          <w:sz w:val="28"/>
          <w:szCs w:val="28"/>
          <w:u w:val="single"/>
        </w:rPr>
        <w:t>Kanda</w:t>
      </w:r>
      <w:proofErr w:type="spellEnd"/>
    </w:p>
    <w:p w:rsidR="00BF63E3" w:rsidRPr="00E21788" w:rsidRDefault="00E21788" w:rsidP="00E21788">
      <w:pPr>
        <w:spacing w:after="0"/>
        <w:ind w:firstLine="4395"/>
        <w:jc w:val="center"/>
        <w:rPr>
          <w:rFonts w:cs="Tahoma"/>
          <w:b/>
          <w:color w:val="000000" w:themeColor="text1"/>
          <w:szCs w:val="28"/>
        </w:rPr>
      </w:pPr>
      <w:r w:rsidRPr="00E21788">
        <w:rPr>
          <w:rFonts w:cs="Tahoma"/>
          <w:b/>
          <w:color w:val="000000" w:themeColor="text1"/>
          <w:szCs w:val="28"/>
        </w:rPr>
        <w:t>Responsable Administratif et Financier</w:t>
      </w:r>
    </w:p>
    <w:p w:rsidR="005D02DE" w:rsidRPr="003F32F4" w:rsidRDefault="005D02DE" w:rsidP="00E21788">
      <w:pPr>
        <w:spacing w:after="0"/>
        <w:jc w:val="right"/>
        <w:rPr>
          <w:rFonts w:cs="Tahoma"/>
          <w:b/>
          <w:color w:val="000000" w:themeColor="text1"/>
          <w:sz w:val="28"/>
          <w:szCs w:val="28"/>
        </w:rPr>
      </w:pPr>
    </w:p>
    <w:p w:rsidR="005D02DE" w:rsidRPr="003F32F4" w:rsidRDefault="005D02DE" w:rsidP="005D02DE">
      <w:pPr>
        <w:jc w:val="both"/>
        <w:rPr>
          <w:sz w:val="28"/>
          <w:szCs w:val="28"/>
        </w:rPr>
      </w:pPr>
    </w:p>
    <w:p w:rsidR="00CB4165" w:rsidRDefault="00CB4165"/>
    <w:sectPr w:rsidR="00CB4165" w:rsidSect="001816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1A" w:rsidRDefault="00F21F1A">
      <w:pPr>
        <w:spacing w:after="0" w:line="240" w:lineRule="auto"/>
      </w:pPr>
      <w:r>
        <w:separator/>
      </w:r>
    </w:p>
  </w:endnote>
  <w:endnote w:type="continuationSeparator" w:id="0">
    <w:p w:rsidR="00F21F1A" w:rsidRDefault="00F2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1A" w:rsidRDefault="00F21F1A">
      <w:pPr>
        <w:spacing w:after="0" w:line="240" w:lineRule="auto"/>
      </w:pPr>
      <w:r>
        <w:separator/>
      </w:r>
    </w:p>
  </w:footnote>
  <w:footnote w:type="continuationSeparator" w:id="0">
    <w:p w:rsidR="00F21F1A" w:rsidRDefault="00F21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65" w:rsidRDefault="00CB4165">
    <w:pPr>
      <w:pStyle w:val="En-tte"/>
    </w:pPr>
    <w:r>
      <w:rPr>
        <w:noProof/>
        <w:lang w:eastAsia="fr-F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-30480</wp:posOffset>
          </wp:positionV>
          <wp:extent cx="956945" cy="41719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6945" cy="417195"/>
                  </a:xfrm>
                  <a:prstGeom prst="rect">
                    <a:avLst/>
                  </a:prstGeom>
                </pic:spPr>
              </pic:pic>
            </a:graphicData>
          </a:graphic>
        </wp:anchor>
      </w:drawing>
    </w:r>
  </w:p>
  <w:p w:rsidR="00CB4165" w:rsidRPr="003F32F4" w:rsidRDefault="00CB4165" w:rsidP="00CB4165">
    <w:pPr>
      <w:pStyle w:val="En-tte"/>
      <w:jc w:val="right"/>
      <w:rPr>
        <w:b/>
        <w:sz w:val="24"/>
      </w:rPr>
    </w:pPr>
    <w:r w:rsidRPr="003F32F4">
      <w:rPr>
        <w:b/>
        <w:sz w:val="24"/>
      </w:rPr>
      <w:t>Secrétariat Technique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62BD"/>
    <w:multiLevelType w:val="hybridMultilevel"/>
    <w:tmpl w:val="A0F68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DD232C"/>
    <w:multiLevelType w:val="hybridMultilevel"/>
    <w:tmpl w:val="6E1EF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2A6158"/>
    <w:multiLevelType w:val="hybridMultilevel"/>
    <w:tmpl w:val="80E09DF8"/>
    <w:lvl w:ilvl="0" w:tplc="D47AFCA8">
      <w:start w:val="5"/>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A2492E"/>
    <w:multiLevelType w:val="hybridMultilevel"/>
    <w:tmpl w:val="8A28BC1A"/>
    <w:lvl w:ilvl="0" w:tplc="813A10E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BE3AC5"/>
    <w:multiLevelType w:val="multilevel"/>
    <w:tmpl w:val="5686C148"/>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B5656FB"/>
    <w:multiLevelType w:val="hybridMultilevel"/>
    <w:tmpl w:val="7938E1F8"/>
    <w:lvl w:ilvl="0" w:tplc="7B48EE3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DE"/>
    <w:rsid w:val="00030915"/>
    <w:rsid w:val="000540E6"/>
    <w:rsid w:val="00095CE1"/>
    <w:rsid w:val="000A24F7"/>
    <w:rsid w:val="00156901"/>
    <w:rsid w:val="0018165C"/>
    <w:rsid w:val="00201B2A"/>
    <w:rsid w:val="002A36D0"/>
    <w:rsid w:val="002E44FC"/>
    <w:rsid w:val="00410880"/>
    <w:rsid w:val="00486086"/>
    <w:rsid w:val="00492E25"/>
    <w:rsid w:val="004F2000"/>
    <w:rsid w:val="005D02DE"/>
    <w:rsid w:val="006103BE"/>
    <w:rsid w:val="00654EB9"/>
    <w:rsid w:val="00764BE5"/>
    <w:rsid w:val="007C6559"/>
    <w:rsid w:val="007E7894"/>
    <w:rsid w:val="00841BFC"/>
    <w:rsid w:val="009F3B2F"/>
    <w:rsid w:val="00AA0ACB"/>
    <w:rsid w:val="00AD2E47"/>
    <w:rsid w:val="00B1411E"/>
    <w:rsid w:val="00B44515"/>
    <w:rsid w:val="00BD15A9"/>
    <w:rsid w:val="00BF63E3"/>
    <w:rsid w:val="00C616FF"/>
    <w:rsid w:val="00C67D74"/>
    <w:rsid w:val="00C73AFD"/>
    <w:rsid w:val="00CB4165"/>
    <w:rsid w:val="00CD268D"/>
    <w:rsid w:val="00CD44CF"/>
    <w:rsid w:val="00CF3CB7"/>
    <w:rsid w:val="00CF642A"/>
    <w:rsid w:val="00D53EFD"/>
    <w:rsid w:val="00D90BD7"/>
    <w:rsid w:val="00E21788"/>
    <w:rsid w:val="00E30FEF"/>
    <w:rsid w:val="00E611BF"/>
    <w:rsid w:val="00E76CD4"/>
    <w:rsid w:val="00F21F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D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02DE"/>
    <w:pPr>
      <w:ind w:left="720"/>
      <w:contextualSpacing/>
    </w:pPr>
  </w:style>
  <w:style w:type="paragraph" w:styleId="Citationintense">
    <w:name w:val="Intense Quote"/>
    <w:basedOn w:val="Normal"/>
    <w:next w:val="Normal"/>
    <w:link w:val="CitationintenseCar"/>
    <w:uiPriority w:val="30"/>
    <w:qFormat/>
    <w:rsid w:val="005D02D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5D02DE"/>
    <w:rPr>
      <w:i/>
      <w:iCs/>
      <w:color w:val="5B9BD5" w:themeColor="accent1"/>
    </w:rPr>
  </w:style>
  <w:style w:type="paragraph" w:styleId="En-tte">
    <w:name w:val="header"/>
    <w:basedOn w:val="Normal"/>
    <w:link w:val="En-tteCar"/>
    <w:uiPriority w:val="99"/>
    <w:unhideWhenUsed/>
    <w:rsid w:val="005D02DE"/>
    <w:pPr>
      <w:tabs>
        <w:tab w:val="center" w:pos="4513"/>
        <w:tab w:val="right" w:pos="9026"/>
      </w:tabs>
      <w:spacing w:after="0" w:line="240" w:lineRule="auto"/>
    </w:pPr>
  </w:style>
  <w:style w:type="character" w:customStyle="1" w:styleId="En-tteCar">
    <w:name w:val="En-tête Car"/>
    <w:basedOn w:val="Policepardfaut"/>
    <w:link w:val="En-tte"/>
    <w:uiPriority w:val="99"/>
    <w:rsid w:val="005D02DE"/>
  </w:style>
  <w:style w:type="character" w:customStyle="1" w:styleId="apple-converted-space">
    <w:name w:val="apple-converted-space"/>
    <w:basedOn w:val="Policepardfaut"/>
    <w:rsid w:val="00D90BD7"/>
  </w:style>
  <w:style w:type="character" w:styleId="Lienhypertexte">
    <w:name w:val="Hyperlink"/>
    <w:basedOn w:val="Policepardfaut"/>
    <w:uiPriority w:val="99"/>
    <w:semiHidden/>
    <w:unhideWhenUsed/>
    <w:rsid w:val="00D90B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D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02DE"/>
    <w:pPr>
      <w:ind w:left="720"/>
      <w:contextualSpacing/>
    </w:pPr>
  </w:style>
  <w:style w:type="paragraph" w:styleId="Citationintense">
    <w:name w:val="Intense Quote"/>
    <w:basedOn w:val="Normal"/>
    <w:next w:val="Normal"/>
    <w:link w:val="CitationintenseCar"/>
    <w:uiPriority w:val="30"/>
    <w:qFormat/>
    <w:rsid w:val="005D02D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5D02DE"/>
    <w:rPr>
      <w:i/>
      <w:iCs/>
      <w:color w:val="5B9BD5" w:themeColor="accent1"/>
    </w:rPr>
  </w:style>
  <w:style w:type="paragraph" w:styleId="En-tte">
    <w:name w:val="header"/>
    <w:basedOn w:val="Normal"/>
    <w:link w:val="En-tteCar"/>
    <w:uiPriority w:val="99"/>
    <w:unhideWhenUsed/>
    <w:rsid w:val="005D02DE"/>
    <w:pPr>
      <w:tabs>
        <w:tab w:val="center" w:pos="4513"/>
        <w:tab w:val="right" w:pos="9026"/>
      </w:tabs>
      <w:spacing w:after="0" w:line="240" w:lineRule="auto"/>
    </w:pPr>
  </w:style>
  <w:style w:type="character" w:customStyle="1" w:styleId="En-tteCar">
    <w:name w:val="En-tête Car"/>
    <w:basedOn w:val="Policepardfaut"/>
    <w:link w:val="En-tte"/>
    <w:uiPriority w:val="99"/>
    <w:rsid w:val="005D02DE"/>
  </w:style>
  <w:style w:type="character" w:customStyle="1" w:styleId="apple-converted-space">
    <w:name w:val="apple-converted-space"/>
    <w:basedOn w:val="Policepardfaut"/>
    <w:rsid w:val="00D90BD7"/>
  </w:style>
  <w:style w:type="character" w:styleId="Lienhypertexte">
    <w:name w:val="Hyperlink"/>
    <w:basedOn w:val="Policepardfaut"/>
    <w:uiPriority w:val="99"/>
    <w:semiHidden/>
    <w:unhideWhenUsed/>
    <w:rsid w:val="00D90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ines_en_Franc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ITIE-RDC</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Dumba</dc:creator>
  <cp:lastModifiedBy>hp</cp:lastModifiedBy>
  <cp:revision>2</cp:revision>
  <dcterms:created xsi:type="dcterms:W3CDTF">2016-04-19T12:17:00Z</dcterms:created>
  <dcterms:modified xsi:type="dcterms:W3CDTF">2016-04-19T12:17:00Z</dcterms:modified>
</cp:coreProperties>
</file>