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8"/>
          <w:szCs w:val="48"/>
        </w:rPr>
        <w:id w:val="1457138205"/>
        <w:docPartObj>
          <w:docPartGallery w:val="Cover Pages"/>
          <w:docPartUnique/>
        </w:docPartObj>
      </w:sdtPr>
      <w:sdtEndPr>
        <w:rPr>
          <w:rFonts w:ascii="Calibri" w:eastAsia="Times New Roman" w:hAnsi="Calibri" w:cs="Times New Roman"/>
          <w:b w:val="0"/>
          <w:bCs w:val="0"/>
          <w:color w:val="000000"/>
          <w:sz w:val="22"/>
          <w:szCs w:val="28"/>
          <w:lang w:eastAsia="fr-FR"/>
        </w:rPr>
      </w:sdtEndPr>
      <w:sdtContent>
        <w:tbl>
          <w:tblPr>
            <w:tblpPr w:leftFromText="187" w:rightFromText="187" w:horzAnchor="margin" w:tblpYSpec="bottom"/>
            <w:tblW w:w="3242" w:type="pct"/>
            <w:tblLook w:val="04A0"/>
          </w:tblPr>
          <w:tblGrid>
            <w:gridCol w:w="9220"/>
          </w:tblGrid>
          <w:tr w:rsidR="00EC57E0" w:rsidTr="00CD4453">
            <w:trPr>
              <w:trHeight w:val="685"/>
            </w:trPr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365F91" w:themeColor="accent1" w:themeShade="BF"/>
                  <w:sz w:val="48"/>
                  <w:szCs w:val="48"/>
                </w:rPr>
                <w:alias w:val="Titre"/>
                <w:id w:val="703864190"/>
                <w:placeholder>
                  <w:docPart w:val="C25BC7D7E29B449D848DB1D352D06D65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>
                <w:rPr>
                  <w:sz w:val="56"/>
                </w:rPr>
              </w:sdtEndPr>
              <w:sdtContent>
                <w:tc>
                  <w:tcPr>
                    <w:tcW w:w="9220" w:type="dxa"/>
                  </w:tcPr>
                  <w:p w:rsidR="00EC57E0" w:rsidRDefault="00EC57E0" w:rsidP="00EC57E0">
                    <w:pPr>
                      <w:pStyle w:val="Sansinterligne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</w:pPr>
                    <w:r w:rsidRPr="00F47054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56"/>
                        <w:szCs w:val="48"/>
                      </w:rPr>
                      <w:t>Evaluation de l’impact de l’ITIE</w:t>
                    </w:r>
                  </w:p>
                </w:tc>
              </w:sdtContent>
            </w:sdt>
          </w:tr>
          <w:tr w:rsidR="00EC57E0" w:rsidTr="00CD4453">
            <w:trPr>
              <w:trHeight w:val="415"/>
            </w:trPr>
            <w:sdt>
              <w:sdtPr>
                <w:rPr>
                  <w:color w:val="484329" w:themeColor="background2" w:themeShade="3F"/>
                  <w:sz w:val="28"/>
                  <w:szCs w:val="28"/>
                </w:rPr>
                <w:alias w:val="Sous-titre"/>
                <w:id w:val="703864195"/>
                <w:placeholder>
                  <w:docPart w:val="58DB97EAD9874FECA7956DCFC80FC6B9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9220" w:type="dxa"/>
                  </w:tcPr>
                  <w:p w:rsidR="00EC57E0" w:rsidRDefault="00EC57E0" w:rsidP="00EC57E0">
                    <w:pPr>
                      <w:pStyle w:val="Sansinterligne"/>
                      <w:rPr>
                        <w:color w:val="484329" w:themeColor="background2" w:themeShade="3F"/>
                        <w:sz w:val="28"/>
                        <w:szCs w:val="28"/>
                      </w:rPr>
                    </w:pPr>
                    <w:r>
                      <w:rPr>
                        <w:color w:val="484329" w:themeColor="background2" w:themeShade="3F"/>
                        <w:sz w:val="28"/>
                        <w:szCs w:val="28"/>
                      </w:rPr>
                      <w:t>En République Démocratique du Congo</w:t>
                    </w:r>
                  </w:p>
                </w:tc>
              </w:sdtContent>
            </w:sdt>
          </w:tr>
          <w:tr w:rsidR="00EC57E0" w:rsidTr="00CD4453">
            <w:trPr>
              <w:trHeight w:val="415"/>
            </w:trPr>
            <w:tc>
              <w:tcPr>
                <w:tcW w:w="9220" w:type="dxa"/>
              </w:tcPr>
              <w:p w:rsidR="00EC57E0" w:rsidRDefault="00EC57E0">
                <w:pPr>
                  <w:pStyle w:val="Sansinterligne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EC57E0" w:rsidTr="00CD4453">
            <w:trPr>
              <w:trHeight w:val="643"/>
            </w:trPr>
            <w:sdt>
              <w:sdtPr>
                <w:alias w:val="Résumé"/>
                <w:id w:val="703864200"/>
                <w:placeholder>
                  <w:docPart w:val="44259CCD06744D66BE91461249FA0C38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9220" w:type="dxa"/>
                  </w:tcPr>
                  <w:p w:rsidR="00EC57E0" w:rsidRDefault="00EC57E0" w:rsidP="00EC57E0">
                    <w:pPr>
                      <w:pStyle w:val="Sansinterligne"/>
                    </w:pPr>
                    <w:r>
                      <w:t>Les effets de l’impact de la mise en œuvre  de l’ITIE en RDC  ont été collationnés par les Experts du Secrétariat Technique de l’ITIE-RDC</w:t>
                    </w:r>
                  </w:p>
                </w:tc>
              </w:sdtContent>
            </w:sdt>
          </w:tr>
          <w:tr w:rsidR="00EC57E0" w:rsidTr="00CD4453">
            <w:trPr>
              <w:trHeight w:val="332"/>
            </w:trPr>
            <w:tc>
              <w:tcPr>
                <w:tcW w:w="9220" w:type="dxa"/>
              </w:tcPr>
              <w:p w:rsidR="00EC57E0" w:rsidRDefault="00EC57E0">
                <w:pPr>
                  <w:pStyle w:val="Sansinterligne"/>
                </w:pPr>
              </w:p>
            </w:tc>
          </w:tr>
          <w:tr w:rsidR="00EC57E0" w:rsidTr="00CD4453">
            <w:trPr>
              <w:trHeight w:val="311"/>
            </w:trPr>
            <w:sdt>
              <w:sdtPr>
                <w:rPr>
                  <w:b/>
                  <w:bCs/>
                </w:rPr>
                <w:alias w:val="Date"/>
                <w:id w:val="703864210"/>
                <w:placeholder>
                  <w:docPart w:val="B70623E7B79640DA8C391E6E066CF3D1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16-05-26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tc>
                  <w:tcPr>
                    <w:tcW w:w="9220" w:type="dxa"/>
                  </w:tcPr>
                  <w:p w:rsidR="00EC57E0" w:rsidRDefault="00EC57E0">
                    <w:pPr>
                      <w:pStyle w:val="Sansinterligne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26/05/2016</w:t>
                    </w:r>
                  </w:p>
                </w:tc>
              </w:sdtContent>
            </w:sdt>
          </w:tr>
          <w:tr w:rsidR="00EC57E0" w:rsidTr="00CD4453">
            <w:trPr>
              <w:trHeight w:val="332"/>
            </w:trPr>
            <w:tc>
              <w:tcPr>
                <w:tcW w:w="9220" w:type="dxa"/>
              </w:tcPr>
              <w:p w:rsidR="00EC57E0" w:rsidRDefault="00EC57E0">
                <w:pPr>
                  <w:pStyle w:val="Sansinterligne"/>
                  <w:rPr>
                    <w:b/>
                    <w:bCs/>
                  </w:rPr>
                </w:pPr>
              </w:p>
            </w:tc>
          </w:tr>
        </w:tbl>
        <w:p w:rsidR="00EC57E0" w:rsidRDefault="00CD4453">
          <w:r>
            <w:rPr>
              <w:noProof/>
              <w:lang w:eastAsia="fr-F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-193675</wp:posOffset>
                </wp:positionV>
                <wp:extent cx="3954780" cy="1891030"/>
                <wp:effectExtent l="19050" t="0" r="7620" b="0"/>
                <wp:wrapThrough wrapText="bothSides">
                  <wp:wrapPolygon edited="0">
                    <wp:start x="-104" y="0"/>
                    <wp:lineTo x="-104" y="21324"/>
                    <wp:lineTo x="19665" y="21324"/>
                    <wp:lineTo x="19769" y="21324"/>
                    <wp:lineTo x="20289" y="20889"/>
                    <wp:lineTo x="21121" y="20889"/>
                    <wp:lineTo x="21434" y="19801"/>
                    <wp:lineTo x="21225" y="17408"/>
                    <wp:lineTo x="21642" y="14144"/>
                    <wp:lineTo x="21642" y="8704"/>
                    <wp:lineTo x="18208" y="7398"/>
                    <wp:lineTo x="17376" y="6963"/>
                    <wp:lineTo x="21642" y="5222"/>
                    <wp:lineTo x="21642" y="3046"/>
                    <wp:lineTo x="20705" y="435"/>
                    <wp:lineTo x="20393" y="0"/>
                    <wp:lineTo x="-104" y="0"/>
                  </wp:wrapPolygon>
                </wp:wrapThrough>
                <wp:docPr id="3" name="Image 1" descr="C:\Users\PROF MACK\Pictures\LOGO ITIE RDC VF\Web Peti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F MACK\Pictures\LOGO ITIE RDC VF\Web Peti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54780" cy="189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EC57E0" w:rsidRDefault="00CE57DD">
          <w:pPr>
            <w:rPr>
              <w:rFonts w:ascii="Calibri" w:eastAsia="Times New Roman" w:hAnsi="Calibri" w:cs="Times New Roman"/>
              <w:color w:val="000000"/>
              <w:szCs w:val="28"/>
              <w:lang w:eastAsia="fr-FR"/>
            </w:rPr>
          </w:pPr>
          <w:r>
            <w:rPr>
              <w:rFonts w:ascii="Calibri" w:eastAsia="Times New Roman" w:hAnsi="Calibri" w:cs="Times New Roman"/>
              <w:noProof/>
              <w:color w:val="000000"/>
              <w:szCs w:val="28"/>
              <w:lang w:eastAsia="fr-F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659765</wp:posOffset>
                </wp:positionV>
                <wp:extent cx="5086350" cy="4267200"/>
                <wp:effectExtent l="19050" t="0" r="0" b="0"/>
                <wp:wrapThrough wrapText="bothSides">
                  <wp:wrapPolygon edited="0">
                    <wp:start x="-81" y="0"/>
                    <wp:lineTo x="-81" y="13982"/>
                    <wp:lineTo x="6472" y="15429"/>
                    <wp:lineTo x="7443" y="17839"/>
                    <wp:lineTo x="7766" y="17839"/>
                    <wp:lineTo x="8252" y="17839"/>
                    <wp:lineTo x="10193" y="17164"/>
                    <wp:lineTo x="10193" y="16971"/>
                    <wp:lineTo x="10679" y="16971"/>
                    <wp:lineTo x="16018" y="15525"/>
                    <wp:lineTo x="15937" y="0"/>
                    <wp:lineTo x="-81" y="0"/>
                  </wp:wrapPolygon>
                </wp:wrapThrough>
                <wp:docPr id="2" name="Objet 1"/>
                <wp:cNvGraphicFramePr/>
                <a:graphic xmlns:a="http://schemas.openxmlformats.org/drawingml/2006/main">
                  <a:graphicData uri="http://schemas.openxmlformats.org/drawingml/2006/lockedCanvas">
                    <lc:lockedCanvas xmlns:lc="http://schemas.openxmlformats.org/drawingml/2006/lockedCanvas">
                      <a:nvGrpSpPr>
                        <a:cNvPr id="0" name=""/>
                        <a:cNvGrpSpPr/>
                      </a:nvGrpSpPr>
                      <a:grpSpPr>
                        <a:xfrm>
                          <a:off x="0" y="0"/>
                          <a:ext cx="3191622" cy="2500330"/>
                          <a:chOff x="142844" y="2285992"/>
                          <a:chExt cx="3191622" cy="2500330"/>
                        </a:xfrm>
                      </a:grpSpPr>
                      <a:grpSp>
                        <a:nvGrpSpPr>
                          <a:cNvPr id="3" name="Groupe 13"/>
                          <a:cNvGrpSpPr/>
                        </a:nvGrpSpPr>
                        <a:grpSpPr>
                          <a:xfrm>
                            <a:off x="142844" y="2285992"/>
                            <a:ext cx="3191622" cy="2500330"/>
                            <a:chOff x="285720" y="1285860"/>
                            <a:chExt cx="2341362" cy="1834233"/>
                          </a:xfrm>
                        </a:grpSpPr>
                        <a:pic>
                          <a:nvPicPr>
                            <a:cNvPr id="1029" name="Picture 5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10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285720" y="1285860"/>
                              <a:ext cx="1752518" cy="14287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</a:pic>
                        <a:sp>
                          <a:nvSpPr>
                            <a:cNvPr id="10" name="Rectangle 9"/>
                            <a:cNvSpPr/>
                          </a:nvSpPr>
                          <a:spPr>
                            <a:xfrm rot="20686105">
                              <a:off x="483942" y="2412207"/>
                              <a:ext cx="2143140" cy="707886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square" lIns="91440" tIns="45720" rIns="91440" bIns="45720">
                                <a:spAutoFit/>
                              </a:bodyPr>
                              <a:lstStyle>
                                <a:defPPr>
                                  <a:defRPr lang="fr-FR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fr-FR" sz="4000" b="1" cap="all" spc="0" dirty="0" smtClean="0">
                                    <a:ln w="9000" cmpd="sng">
                                      <a:solidFill>
                                        <a:schemeClr val="accent4">
                                          <a:shade val="50000"/>
                                          <a:satMod val="120000"/>
                                        </a:schemeClr>
                                      </a:solidFill>
                                      <a:prstDash val="solid"/>
                                    </a:ln>
                                    <a:gradFill>
                                      <a:gsLst>
                                        <a:gs pos="0">
                                          <a:schemeClr val="accent4">
                                            <a:shade val="20000"/>
                                            <a:satMod val="245000"/>
                                          </a:schemeClr>
                                        </a:gs>
                                        <a:gs pos="43000">
                                          <a:schemeClr val="accent4">
                                            <a:satMod val="255000"/>
                                          </a:schemeClr>
                                        </a:gs>
                                        <a:gs pos="48000">
                                          <a:schemeClr val="accent4">
                                            <a:shade val="85000"/>
                                            <a:satMod val="255000"/>
                                          </a:schemeClr>
                                        </a:gs>
                                        <a:gs pos="100000">
                                          <a:schemeClr val="accent4">
                                            <a:shade val="20000"/>
                                            <a:satMod val="245000"/>
                                          </a:schemeClr>
                                        </a:gs>
                                      </a:gsLst>
                                      <a:lin ang="5400000"/>
                                    </a:gradFill>
                                    <a:effectLst>
                                      <a:reflection blurRad="12700" stA="28000" endPos="45000" dist="1000" dir="5400000" sy="-100000" algn="bl" rotWithShape="0"/>
                                    </a:effectLst>
                                    <a:latin typeface="AR CENA" pitchFamily="2" charset="0"/>
                                  </a:rPr>
                                  <a:t>Impact</a:t>
                                </a:r>
                                <a:endParaRPr lang="fr-FR" sz="4000" b="1" cap="all" spc="0" dirty="0">
                                  <a:ln w="9000" cmpd="sng">
                                    <a:solidFill>
                                      <a:schemeClr val="accent4">
                                        <a:shade val="50000"/>
                                        <a:satMod val="120000"/>
                                      </a:schemeClr>
                                    </a:solidFill>
                                    <a:prstDash val="solid"/>
                                  </a:ln>
                                  <a:gradFill>
                                    <a:gsLst>
                                      <a:gs pos="0">
                                        <a:schemeClr val="accent4">
                                          <a:shade val="20000"/>
                                          <a:satMod val="245000"/>
                                        </a:schemeClr>
                                      </a:gs>
                                      <a:gs pos="43000">
                                        <a:schemeClr val="accent4">
                                          <a:satMod val="255000"/>
                                        </a:schemeClr>
                                      </a:gs>
                                      <a:gs pos="48000">
                                        <a:schemeClr val="accent4">
                                          <a:shade val="85000"/>
                                          <a:satMod val="255000"/>
                                        </a:schemeClr>
                                      </a:gs>
                                      <a:gs pos="100000">
                                        <a:schemeClr val="accent4">
                                          <a:shade val="20000"/>
                                          <a:satMod val="245000"/>
                                        </a:schemeClr>
                                      </a:gs>
                                    </a:gsLst>
                                    <a:lin ang="5400000"/>
                                  </a:gradFill>
                                  <a:effectLst>
                                    <a:reflection blurRad="12700" stA="28000" endPos="45000" dist="1000" dir="5400000" sy="-100000" algn="bl" rotWithShape="0"/>
                                  </a:effectLst>
                                  <a:latin typeface="AR CENA" pitchFamily="2" charset="0"/>
                                </a:endParaRPr>
                              </a:p>
                            </a:txBody>
                            <a:useSpRect/>
                          </a:txSp>
                        </a:sp>
                      </a:grpSp>
                    </lc:lockedCanvas>
                  </a:graphicData>
                </a:graphic>
              </wp:anchor>
            </w:drawing>
          </w:r>
          <w:r w:rsidR="00EC57E0">
            <w:rPr>
              <w:rFonts w:ascii="Calibri" w:eastAsia="Times New Roman" w:hAnsi="Calibri" w:cs="Times New Roman"/>
              <w:color w:val="000000"/>
              <w:szCs w:val="28"/>
              <w:lang w:eastAsia="fr-FR"/>
            </w:rPr>
            <w:br w:type="page"/>
          </w:r>
        </w:p>
      </w:sdtContent>
    </w:sdt>
    <w:tbl>
      <w:tblPr>
        <w:tblStyle w:val="Grilledutableau"/>
        <w:tblW w:w="14388" w:type="dxa"/>
        <w:tblLook w:val="06A0"/>
      </w:tblPr>
      <w:tblGrid>
        <w:gridCol w:w="1951"/>
        <w:gridCol w:w="10490"/>
        <w:gridCol w:w="1947"/>
      </w:tblGrid>
      <w:tr w:rsidR="00805A4D" w:rsidTr="009B62D1">
        <w:trPr>
          <w:tblHeader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805A4D" w:rsidRPr="001100D6" w:rsidRDefault="00805A4D" w:rsidP="000B458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</w:pPr>
            <w:r w:rsidRPr="00A43401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  <w:lastRenderedPageBreak/>
              <w:t xml:space="preserve">Domaines </w:t>
            </w:r>
          </w:p>
          <w:p w:rsidR="00805A4D" w:rsidRPr="00A43401" w:rsidRDefault="00805A4D" w:rsidP="000B458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</w:pPr>
            <w:r w:rsidRPr="00A43401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  <w:t>où se fait sentir</w:t>
            </w:r>
            <w:r w:rsidRPr="00A43401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  <w:br/>
              <w:t xml:space="preserve"> l'impact de l'ITIE</w:t>
            </w:r>
          </w:p>
        </w:tc>
        <w:tc>
          <w:tcPr>
            <w:tcW w:w="10490" w:type="dxa"/>
            <w:shd w:val="clear" w:color="auto" w:fill="DAEEF3" w:themeFill="accent5" w:themeFillTint="33"/>
            <w:vAlign w:val="center"/>
          </w:tcPr>
          <w:p w:rsidR="00805A4D" w:rsidRPr="00A43401" w:rsidRDefault="00805A4D" w:rsidP="000B458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</w:pPr>
            <w:r w:rsidRPr="00A43401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  <w:t>Effets de l'impact</w:t>
            </w:r>
          </w:p>
        </w:tc>
        <w:tc>
          <w:tcPr>
            <w:tcW w:w="1947" w:type="dxa"/>
            <w:shd w:val="clear" w:color="auto" w:fill="DAEEF3" w:themeFill="accent5" w:themeFillTint="33"/>
            <w:vAlign w:val="center"/>
          </w:tcPr>
          <w:p w:rsidR="00805A4D" w:rsidRDefault="00C242B3" w:rsidP="000B458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  <w:t>Résultat</w:t>
            </w:r>
          </w:p>
          <w:p w:rsidR="00C242B3" w:rsidRPr="00A43401" w:rsidRDefault="00C242B3" w:rsidP="000B458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  <w:t>probable</w:t>
            </w:r>
          </w:p>
        </w:tc>
      </w:tr>
      <w:tr w:rsidR="00833A84" w:rsidTr="00805A4D">
        <w:trPr>
          <w:tblHeader/>
        </w:trPr>
        <w:tc>
          <w:tcPr>
            <w:tcW w:w="1951" w:type="dxa"/>
            <w:vMerge w:val="restart"/>
            <w:vAlign w:val="center"/>
          </w:tcPr>
          <w:p w:rsidR="00833A84" w:rsidRPr="00A43401" w:rsidRDefault="00833A84" w:rsidP="000B458E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28"/>
                <w:lang w:eastAsia="fr-FR"/>
              </w:rPr>
            </w:pPr>
            <w:r w:rsidRPr="00A43401">
              <w:rPr>
                <w:rFonts w:ascii="Calibri" w:eastAsia="Times New Roman" w:hAnsi="Calibri" w:cs="Times New Roman"/>
                <w:b/>
                <w:color w:val="000000"/>
                <w:szCs w:val="28"/>
                <w:lang w:eastAsia="fr-FR"/>
              </w:rPr>
              <w:t>Fiscalité</w:t>
            </w:r>
          </w:p>
        </w:tc>
        <w:tc>
          <w:tcPr>
            <w:tcW w:w="10490" w:type="dxa"/>
            <w:vAlign w:val="center"/>
          </w:tcPr>
          <w:p w:rsidR="00833A84" w:rsidRDefault="00833A84" w:rsidP="000B458E">
            <w:pP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</w:p>
          <w:p w:rsidR="00833A84" w:rsidRPr="001100D6" w:rsidRDefault="00833A84" w:rsidP="000B458E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 w:rsidRPr="001100D6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</w:t>
            </w:r>
            <w:r w:rsidRPr="001100D6"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>Certification de la déclaration des  Agences Financières de l’Etat (AFE)</w:t>
            </w:r>
          </w:p>
          <w:p w:rsidR="004A23CA" w:rsidRPr="004A23CA" w:rsidRDefault="00833A84" w:rsidP="004A23CA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 w:rsidRPr="004A23CA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La déclaration des AFE est certifiée par l’Inspection Générale des Finances (IGF) depuis le Rapport ITIE-RDC 2010. </w:t>
            </w:r>
          </w:p>
          <w:p w:rsidR="00833A84" w:rsidRPr="004A23CA" w:rsidRDefault="00833A84" w:rsidP="004A23CA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 w:rsidRPr="004A23CA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L’IGF émet une opinion sur la qualité des données des AFE et des recommandations pour l’amélioration tout en conciliant la déclaration des A</w:t>
            </w:r>
            <w:r w:rsidR="004A23CA" w:rsidRPr="004A23CA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FE</w:t>
            </w:r>
            <w:r w:rsidRPr="004A23CA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avec celle du trésor public.</w:t>
            </w:r>
          </w:p>
          <w:p w:rsidR="00833A84" w:rsidRPr="004A23CA" w:rsidRDefault="004A23CA" w:rsidP="004A23CA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 w:rsidRPr="004A23CA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L</w:t>
            </w:r>
            <w:r w:rsidR="00833A84" w:rsidRPr="004A23CA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’IGF inerte depuis longtemps  </w:t>
            </w:r>
            <w:r w:rsidR="00AC146B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reprend</w:t>
            </w:r>
            <w:r w:rsidR="00833A84" w:rsidRPr="004A23CA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le poil de la bête à travers la mission ITIE.</w:t>
            </w:r>
          </w:p>
          <w:p w:rsidR="00833A84" w:rsidRPr="00A43401" w:rsidRDefault="00833A84" w:rsidP="000B458E">
            <w:pPr>
              <w:ind w:left="355"/>
              <w:jc w:val="both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</w:p>
        </w:tc>
        <w:tc>
          <w:tcPr>
            <w:tcW w:w="1947" w:type="dxa"/>
            <w:vMerge w:val="restart"/>
            <w:vAlign w:val="center"/>
          </w:tcPr>
          <w:p w:rsidR="00833A84" w:rsidRPr="00833A84" w:rsidRDefault="00833A84" w:rsidP="000B458E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28"/>
                <w:lang w:eastAsia="fr-FR"/>
              </w:rPr>
            </w:pPr>
            <w:r w:rsidRPr="00833A84">
              <w:rPr>
                <w:rFonts w:ascii="Calibri" w:eastAsia="Times New Roman" w:hAnsi="Calibri" w:cs="Times New Roman"/>
                <w:b/>
                <w:color w:val="000000"/>
                <w:szCs w:val="28"/>
                <w:lang w:eastAsia="fr-FR"/>
              </w:rPr>
              <w:t xml:space="preserve">Mesures </w:t>
            </w:r>
          </w:p>
          <w:p w:rsidR="00833A84" w:rsidRPr="00A43401" w:rsidRDefault="00833A84" w:rsidP="000B458E">
            <w:pPr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 w:rsidRPr="00833A84">
              <w:rPr>
                <w:rFonts w:ascii="Calibri" w:eastAsia="Times New Roman" w:hAnsi="Calibri" w:cs="Times New Roman"/>
                <w:b/>
                <w:color w:val="000000"/>
                <w:szCs w:val="28"/>
                <w:lang w:eastAsia="fr-FR"/>
              </w:rPr>
              <w:t>anti-corruption</w:t>
            </w:r>
          </w:p>
        </w:tc>
      </w:tr>
      <w:tr w:rsidR="00833A84" w:rsidTr="00805A4D">
        <w:trPr>
          <w:tblHeader/>
        </w:trPr>
        <w:tc>
          <w:tcPr>
            <w:tcW w:w="1951" w:type="dxa"/>
            <w:vMerge/>
            <w:vAlign w:val="center"/>
          </w:tcPr>
          <w:p w:rsidR="00833A84" w:rsidRPr="00A43401" w:rsidRDefault="00833A84" w:rsidP="000B458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490" w:type="dxa"/>
            <w:vAlign w:val="center"/>
          </w:tcPr>
          <w:p w:rsidR="00833A84" w:rsidRDefault="00833A84" w:rsidP="000B458E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 xml:space="preserve"> </w:t>
            </w:r>
          </w:p>
          <w:p w:rsidR="00833A84" w:rsidRDefault="00833A84" w:rsidP="000B458E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 w:rsidRPr="00A43401"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>Informatisation de la DGRAD</w:t>
            </w:r>
          </w:p>
          <w:p w:rsidR="00833A84" w:rsidRPr="00387C72" w:rsidRDefault="00833A84" w:rsidP="004A23CA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 w:rsidRPr="00387C72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La Direction Générale des Recettes Administratives et Domaniales (DGRAD) qui jadis effectuait les opérations de perception  </w:t>
            </w:r>
            <w:r w:rsidR="00387C72" w:rsidRPr="00387C72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des recettes manuellement s’informatis</w:t>
            </w:r>
            <w:r w:rsidRPr="00387C72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e à la demande des parties prenantes de l’ITIE</w:t>
            </w:r>
            <w:r w:rsidR="00387C72" w:rsidRPr="00387C72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.</w:t>
            </w:r>
            <w:r w:rsidR="00387C72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</w:t>
            </w:r>
            <w:r w:rsidR="00387C72" w:rsidRPr="00387C72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A</w:t>
            </w:r>
            <w:r w:rsidRPr="00387C72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ujourd’hui, </w:t>
            </w:r>
            <w:r w:rsidR="00387C72" w:rsidRPr="00387C72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la DGRAD</w:t>
            </w:r>
            <w:r w:rsidRPr="00387C72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qui était à la traine des autres A</w:t>
            </w:r>
            <w:r w:rsidR="000734E4" w:rsidRPr="00387C72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FE</w:t>
            </w:r>
            <w:r w:rsidR="00387C72" w:rsidRPr="00387C72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,</w:t>
            </w:r>
            <w:r w:rsidRPr="00387C72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est devenue la meilleur</w:t>
            </w:r>
            <w:r w:rsidR="00387C72" w:rsidRPr="00387C72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e</w:t>
            </w:r>
            <w:r w:rsidRPr="00387C72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dans la déclaration à l’ITIE.</w:t>
            </w:r>
          </w:p>
          <w:p w:rsidR="00833A84" w:rsidRPr="00A43401" w:rsidRDefault="00833A84" w:rsidP="000B458E">
            <w:pPr>
              <w:ind w:left="355"/>
              <w:jc w:val="both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u w:val="single"/>
                <w:lang w:eastAsia="fr-FR"/>
              </w:rPr>
            </w:pPr>
          </w:p>
        </w:tc>
        <w:tc>
          <w:tcPr>
            <w:tcW w:w="1947" w:type="dxa"/>
            <w:vMerge/>
            <w:vAlign w:val="center"/>
          </w:tcPr>
          <w:p w:rsidR="00833A84" w:rsidRPr="00A43401" w:rsidRDefault="00833A84" w:rsidP="00805A4D">
            <w:pPr>
              <w:ind w:firstLine="847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833A84" w:rsidTr="00805A4D">
        <w:trPr>
          <w:tblHeader/>
        </w:trPr>
        <w:tc>
          <w:tcPr>
            <w:tcW w:w="1951" w:type="dxa"/>
            <w:vMerge/>
            <w:vAlign w:val="center"/>
          </w:tcPr>
          <w:p w:rsidR="00833A84" w:rsidRPr="00A43401" w:rsidRDefault="00833A84" w:rsidP="000B458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490" w:type="dxa"/>
            <w:vAlign w:val="center"/>
          </w:tcPr>
          <w:p w:rsidR="00833A84" w:rsidRDefault="00833A84" w:rsidP="000B458E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 xml:space="preserve"> </w:t>
            </w:r>
          </w:p>
          <w:p w:rsidR="00833A84" w:rsidRDefault="00833A84" w:rsidP="000B458E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 w:rsidRPr="00A43401"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>Amélioration de la traçabilité des recettes</w:t>
            </w:r>
          </w:p>
          <w:p w:rsidR="00833A84" w:rsidRDefault="00833A84" w:rsidP="004A23CA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Pour permettre à l’Administrateur Indépendant de mieux réconcilier les déclarations, les A</w:t>
            </w:r>
            <w:r w:rsidR="00387C72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FE</w:t>
            </w: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ont été obligées de produire les documents d</w:t>
            </w:r>
            <w:r w:rsidR="00387C72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e preuve de paiement (quittance</w:t>
            </w: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) aux entreprises, ceci a facilité d’expliquer les écarts.</w:t>
            </w:r>
          </w:p>
          <w:p w:rsidR="00833A84" w:rsidRDefault="00833A84" w:rsidP="004A23CA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Les Numéros d’Identification Fiscal (NIF) octroyés par la DGI sont agencés dans toutes les AFE de sorte que les paiements de chaque entreprise sont  facilement retracés et réconciliés.</w:t>
            </w:r>
          </w:p>
          <w:p w:rsidR="00833A84" w:rsidRPr="00A43401" w:rsidRDefault="00833A84" w:rsidP="000B458E">
            <w:pPr>
              <w:ind w:left="355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947" w:type="dxa"/>
            <w:vMerge/>
            <w:vAlign w:val="center"/>
          </w:tcPr>
          <w:p w:rsidR="00833A84" w:rsidRPr="00A43401" w:rsidRDefault="00833A84" w:rsidP="000B458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833A84" w:rsidTr="00805A4D">
        <w:trPr>
          <w:tblHeader/>
        </w:trPr>
        <w:tc>
          <w:tcPr>
            <w:tcW w:w="1951" w:type="dxa"/>
            <w:vMerge/>
            <w:vAlign w:val="center"/>
          </w:tcPr>
          <w:p w:rsidR="00833A84" w:rsidRPr="00A43401" w:rsidRDefault="00833A84" w:rsidP="000B458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490" w:type="dxa"/>
            <w:vAlign w:val="center"/>
          </w:tcPr>
          <w:p w:rsidR="00833A84" w:rsidRDefault="00833A84" w:rsidP="000B458E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 xml:space="preserve"> </w:t>
            </w:r>
          </w:p>
          <w:p w:rsidR="00833A84" w:rsidRDefault="00833A84" w:rsidP="000B458E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 w:rsidRPr="00A43401"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 xml:space="preserve">Intégration </w:t>
            </w:r>
            <w:r w:rsidR="003106FC"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>de l’ITIE dans le système</w:t>
            </w:r>
            <w:r w:rsidRPr="00A43401"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 xml:space="preserve"> du Ministère des Finances</w:t>
            </w:r>
          </w:p>
          <w:p w:rsidR="00833A84" w:rsidRDefault="007C3AFF" w:rsidP="004A23CA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Les recettes  du secteur extractif</w:t>
            </w:r>
            <w:r w:rsidR="003106FC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du Ministère des Finances sont référencées dans les Rapports ITIE-RDC.</w:t>
            </w:r>
          </w:p>
          <w:p w:rsidR="00833A84" w:rsidRPr="00A43401" w:rsidRDefault="00833A84" w:rsidP="00805A4D">
            <w:pPr>
              <w:ind w:left="355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947" w:type="dxa"/>
            <w:vMerge/>
            <w:vAlign w:val="center"/>
          </w:tcPr>
          <w:p w:rsidR="00833A84" w:rsidRPr="00A43401" w:rsidRDefault="00833A84" w:rsidP="000B458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7C3AFF" w:rsidTr="005E573A">
        <w:trPr>
          <w:tblHeader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7C3AFF" w:rsidRPr="001100D6" w:rsidRDefault="007C3AFF" w:rsidP="00D5192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</w:pPr>
            <w:r w:rsidRPr="00A43401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  <w:t xml:space="preserve">Domaines </w:t>
            </w:r>
          </w:p>
          <w:p w:rsidR="007C3AFF" w:rsidRPr="00A43401" w:rsidRDefault="007C3AFF" w:rsidP="00D5192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</w:pPr>
            <w:r w:rsidRPr="00A43401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  <w:t>où se fait sentir</w:t>
            </w:r>
            <w:r w:rsidRPr="00A43401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  <w:br/>
              <w:t xml:space="preserve"> l'impact de l'ITIE</w:t>
            </w:r>
          </w:p>
        </w:tc>
        <w:tc>
          <w:tcPr>
            <w:tcW w:w="10490" w:type="dxa"/>
            <w:shd w:val="clear" w:color="auto" w:fill="DAEEF3" w:themeFill="accent5" w:themeFillTint="33"/>
            <w:vAlign w:val="center"/>
          </w:tcPr>
          <w:p w:rsidR="007C3AFF" w:rsidRPr="00A43401" w:rsidRDefault="007C3AFF" w:rsidP="00D5192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</w:pPr>
            <w:r w:rsidRPr="00A43401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  <w:t>Effets de l'impact</w:t>
            </w:r>
          </w:p>
        </w:tc>
        <w:tc>
          <w:tcPr>
            <w:tcW w:w="1947" w:type="dxa"/>
            <w:shd w:val="clear" w:color="auto" w:fill="DAEEF3" w:themeFill="accent5" w:themeFillTint="33"/>
            <w:vAlign w:val="center"/>
          </w:tcPr>
          <w:p w:rsidR="007C3AFF" w:rsidRPr="00A43401" w:rsidRDefault="007C3AFF" w:rsidP="00D5192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</w:pPr>
            <w:r w:rsidRPr="00A43401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  <w:t>Indicateurs de l'impact</w:t>
            </w:r>
          </w:p>
        </w:tc>
      </w:tr>
      <w:tr w:rsidR="007C3AFF" w:rsidTr="00D51920">
        <w:trPr>
          <w:tblHeader/>
        </w:trPr>
        <w:tc>
          <w:tcPr>
            <w:tcW w:w="1951" w:type="dxa"/>
            <w:vMerge w:val="restart"/>
            <w:vAlign w:val="center"/>
          </w:tcPr>
          <w:p w:rsidR="007C3AFF" w:rsidRPr="00A43401" w:rsidRDefault="007C3AFF" w:rsidP="007C3AFF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Cs w:val="28"/>
                <w:lang w:eastAsia="fr-FR"/>
              </w:rPr>
            </w:pPr>
            <w:r w:rsidRPr="007C3AFF">
              <w:rPr>
                <w:rFonts w:ascii="Calibri" w:eastAsia="Times New Roman" w:hAnsi="Calibri" w:cs="Times New Roman"/>
                <w:b/>
                <w:color w:val="000000"/>
                <w:sz w:val="24"/>
                <w:szCs w:val="28"/>
                <w:lang w:eastAsia="fr-FR"/>
              </w:rPr>
              <w:t>Débat Public</w:t>
            </w:r>
          </w:p>
        </w:tc>
        <w:tc>
          <w:tcPr>
            <w:tcW w:w="10490" w:type="dxa"/>
            <w:vAlign w:val="center"/>
          </w:tcPr>
          <w:p w:rsidR="007C3AFF" w:rsidRPr="001100D6" w:rsidRDefault="007C3AFF" w:rsidP="00D51920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 w:rsidRPr="001100D6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</w:t>
            </w:r>
            <w:r w:rsidRPr="007C3AFF"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>Vulgarisation de l'ITIE</w:t>
            </w:r>
          </w:p>
          <w:p w:rsidR="007C3AFF" w:rsidRDefault="004A23CA" w:rsidP="004A23CA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Les revenus du secteur extractif sont connus du public.</w:t>
            </w:r>
          </w:p>
          <w:p w:rsidR="004A23CA" w:rsidRDefault="004A23CA" w:rsidP="004A23CA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Le Gouvernement communique les décaissements et l’affectation des fonds du projet « infrastructures » </w:t>
            </w:r>
            <w:r w:rsidR="00D27A2B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libellé </w:t>
            </w: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dans le  contrat chinois</w:t>
            </w:r>
            <w:r w:rsidR="00D27A2B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.</w:t>
            </w:r>
          </w:p>
          <w:p w:rsidR="007C3AFF" w:rsidRPr="00A43401" w:rsidRDefault="004A23CA" w:rsidP="0084722F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Les universitaires publient des mémoires </w:t>
            </w:r>
            <w:r w:rsidR="004A67CD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sur les</w:t>
            </w:r>
            <w:r w:rsidR="00D27A2B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Rapports</w:t>
            </w: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ITIE</w:t>
            </w:r>
            <w:r w:rsidR="00D27A2B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.</w:t>
            </w:r>
          </w:p>
        </w:tc>
        <w:tc>
          <w:tcPr>
            <w:tcW w:w="1947" w:type="dxa"/>
            <w:vMerge w:val="restart"/>
            <w:vAlign w:val="center"/>
          </w:tcPr>
          <w:p w:rsidR="007C3AFF" w:rsidRPr="00A43401" w:rsidRDefault="007C3AFF" w:rsidP="00D51920">
            <w:pPr>
              <w:jc w:val="center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8"/>
                <w:lang w:eastAsia="fr-FR"/>
              </w:rPr>
              <w:t>Redevabilité</w:t>
            </w:r>
          </w:p>
        </w:tc>
      </w:tr>
      <w:tr w:rsidR="004A67CD" w:rsidTr="00D51920">
        <w:trPr>
          <w:tblHeader/>
        </w:trPr>
        <w:tc>
          <w:tcPr>
            <w:tcW w:w="1951" w:type="dxa"/>
            <w:vMerge/>
            <w:vAlign w:val="center"/>
          </w:tcPr>
          <w:p w:rsidR="004A67CD" w:rsidRPr="00A43401" w:rsidRDefault="004A67CD" w:rsidP="00D5192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490" w:type="dxa"/>
            <w:vAlign w:val="center"/>
          </w:tcPr>
          <w:p w:rsidR="009A49C8" w:rsidRPr="001100D6" w:rsidRDefault="009A49C8" w:rsidP="009A49C8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>Engagement de la Société civile</w:t>
            </w:r>
          </w:p>
          <w:p w:rsidR="009A49C8" w:rsidRDefault="009A49C8" w:rsidP="009A49C8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I</w:t>
            </w:r>
            <w:r w:rsidR="00A43371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mplication de la société civile dans l’évaluation du processus</w:t>
            </w:r>
          </w:p>
          <w:p w:rsidR="00A43371" w:rsidRPr="00A43371" w:rsidRDefault="009A49C8" w:rsidP="00A43371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Le Gouvernement communique les décaissements et l’affectation des fonds du projet « infrastructures » libellé dans le  contrat chinois.</w:t>
            </w:r>
          </w:p>
          <w:p w:rsidR="00A43371" w:rsidRDefault="00A43371" w:rsidP="009A49C8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 w:rsidRPr="00A43371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Apparition de plusieurs </w:t>
            </w:r>
            <w:r w:rsidR="00FE6330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ONG et </w:t>
            </w:r>
            <w:r w:rsidRPr="00A43371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plateformes de la SC </w:t>
            </w: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intervenant</w:t>
            </w:r>
            <w:r w:rsidRPr="00A43371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dans le secteur extractif</w:t>
            </w: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.</w:t>
            </w:r>
          </w:p>
          <w:p w:rsidR="004A67CD" w:rsidRPr="00A43401" w:rsidRDefault="00915190" w:rsidP="0084722F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Le Parlement adopte une loi sur les Hydrocarbures où la Société Civile </w:t>
            </w:r>
            <w:r w:rsidR="00FE6330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réussi à intégrer l’obligation à déclarer à l’ITIE</w:t>
            </w:r>
            <w:r w:rsidR="005933CB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</w:t>
            </w:r>
            <w:r w:rsidR="00FE6330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et autres articles sur la transpa</w:t>
            </w:r>
            <w:r w:rsidR="005933CB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rence.</w:t>
            </w:r>
          </w:p>
        </w:tc>
        <w:tc>
          <w:tcPr>
            <w:tcW w:w="1947" w:type="dxa"/>
            <w:vMerge/>
            <w:vAlign w:val="center"/>
          </w:tcPr>
          <w:p w:rsidR="004A67CD" w:rsidRPr="00A43401" w:rsidRDefault="004A67CD" w:rsidP="00D51920">
            <w:pPr>
              <w:ind w:firstLine="847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FE6330" w:rsidTr="00D51920">
        <w:trPr>
          <w:tblHeader/>
        </w:trPr>
        <w:tc>
          <w:tcPr>
            <w:tcW w:w="1951" w:type="dxa"/>
            <w:vMerge/>
            <w:vAlign w:val="center"/>
          </w:tcPr>
          <w:p w:rsidR="00FE6330" w:rsidRPr="00A43401" w:rsidRDefault="00FE6330" w:rsidP="00D5192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490" w:type="dxa"/>
            <w:vAlign w:val="center"/>
          </w:tcPr>
          <w:p w:rsidR="00FE6330" w:rsidRPr="001100D6" w:rsidRDefault="00FE6330" w:rsidP="00FE6330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>Engagement des entreprises</w:t>
            </w:r>
          </w:p>
          <w:p w:rsidR="00FE6330" w:rsidRPr="00FE6330" w:rsidRDefault="00FE6330" w:rsidP="00FE6330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La Chambre des Mines </w:t>
            </w:r>
            <w:r w:rsidR="00A43A6C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crée</w:t>
            </w: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une cellule ITIE </w:t>
            </w:r>
          </w:p>
          <w:p w:rsidR="00A43A6C" w:rsidRPr="00A43A6C" w:rsidRDefault="00FE6330" w:rsidP="00FE6330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Les entreprises contribuent financièrement à la mise en </w:t>
            </w:r>
            <w:r w:rsidR="00A43A6C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œuvre</w:t>
            </w:r>
          </w:p>
          <w:p w:rsidR="00877832" w:rsidRPr="00877832" w:rsidRDefault="00A43A6C" w:rsidP="00FE6330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La tenue de la comptabilité au sein de plusieurs entreprises est améliorée</w:t>
            </w:r>
          </w:p>
          <w:p w:rsidR="00FE6330" w:rsidRDefault="00877832" w:rsidP="0084722F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La désignation des points focaux ITIE.</w:t>
            </w:r>
            <w:r w:rsidR="00FE6330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</w:t>
            </w:r>
          </w:p>
        </w:tc>
        <w:tc>
          <w:tcPr>
            <w:tcW w:w="1947" w:type="dxa"/>
            <w:vMerge/>
            <w:vAlign w:val="center"/>
          </w:tcPr>
          <w:p w:rsidR="00FE6330" w:rsidRPr="00A43401" w:rsidRDefault="00FE6330" w:rsidP="00D5192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877832" w:rsidTr="00D51920">
        <w:trPr>
          <w:tblHeader/>
        </w:trPr>
        <w:tc>
          <w:tcPr>
            <w:tcW w:w="1951" w:type="dxa"/>
            <w:vMerge/>
            <w:vAlign w:val="center"/>
          </w:tcPr>
          <w:p w:rsidR="00877832" w:rsidRPr="00A43401" w:rsidRDefault="00877832" w:rsidP="00D5192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490" w:type="dxa"/>
            <w:vAlign w:val="center"/>
          </w:tcPr>
          <w:p w:rsidR="00877832" w:rsidRPr="001100D6" w:rsidRDefault="00877832" w:rsidP="00877832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>Engagement des parties déclarantes de l’Etat</w:t>
            </w:r>
          </w:p>
          <w:p w:rsidR="00877832" w:rsidRPr="00877832" w:rsidRDefault="00877832" w:rsidP="00877832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Les AFE et les EPE désignent des points focaux ITIE</w:t>
            </w:r>
          </w:p>
          <w:p w:rsidR="00877832" w:rsidRDefault="00877832" w:rsidP="0084722F">
            <w:pPr>
              <w:pStyle w:val="Paragraphedeliste"/>
              <w:ind w:left="601"/>
              <w:jc w:val="both"/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</w:p>
        </w:tc>
        <w:tc>
          <w:tcPr>
            <w:tcW w:w="1947" w:type="dxa"/>
            <w:vMerge/>
            <w:vAlign w:val="center"/>
          </w:tcPr>
          <w:p w:rsidR="00877832" w:rsidRPr="00A43401" w:rsidRDefault="00877832" w:rsidP="00D5192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4A67CD" w:rsidTr="00D51920">
        <w:trPr>
          <w:tblHeader/>
        </w:trPr>
        <w:tc>
          <w:tcPr>
            <w:tcW w:w="1951" w:type="dxa"/>
            <w:vMerge/>
            <w:vAlign w:val="center"/>
          </w:tcPr>
          <w:p w:rsidR="004A67CD" w:rsidRPr="00A43401" w:rsidRDefault="004A67CD" w:rsidP="00D5192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490" w:type="dxa"/>
            <w:vAlign w:val="center"/>
          </w:tcPr>
          <w:p w:rsidR="00A43371" w:rsidRPr="001100D6" w:rsidRDefault="00A43371" w:rsidP="00A43371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>Gouvernance du Groupe Multipartite</w:t>
            </w:r>
          </w:p>
          <w:p w:rsidR="004A67CD" w:rsidRDefault="00A43371" w:rsidP="00A43371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A43371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Les Ministres, membres du Gouvernement participent régulièrement au GMP</w:t>
            </w:r>
            <w:r w:rsidRPr="00A4340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 xml:space="preserve"> </w:t>
            </w:r>
          </w:p>
          <w:p w:rsidR="00A43371" w:rsidRPr="005933CB" w:rsidRDefault="00A43371" w:rsidP="00A43371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A43371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Le Parlement </w:t>
            </w: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utilise les Rapports ITIE pour la reddition des comptes et la confection du budget et  interpelle</w:t>
            </w:r>
            <w:r w:rsidRPr="00A43371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le Gouvernement sur la suspension de l’ITIE et sur le retard dans la collecte des données</w:t>
            </w: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.</w:t>
            </w:r>
          </w:p>
          <w:p w:rsidR="00877832" w:rsidRPr="00FE6330" w:rsidRDefault="00877832" w:rsidP="00877832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Le Ministre des Mines prend un arrêté obligeant les industries minières à déclarer à l’ITIE.</w:t>
            </w:r>
          </w:p>
          <w:p w:rsidR="00A43371" w:rsidRPr="00A43401" w:rsidRDefault="00A43371" w:rsidP="00877832">
            <w:pPr>
              <w:pStyle w:val="Paragraphedeliste"/>
              <w:ind w:left="601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947" w:type="dxa"/>
            <w:vMerge/>
            <w:vAlign w:val="center"/>
          </w:tcPr>
          <w:p w:rsidR="004A67CD" w:rsidRPr="00A43401" w:rsidRDefault="004A67CD" w:rsidP="00D5192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7C3AFF" w:rsidRDefault="007C3AFF"/>
    <w:tbl>
      <w:tblPr>
        <w:tblStyle w:val="Grilledutableau"/>
        <w:tblW w:w="14388" w:type="dxa"/>
        <w:tblLook w:val="06A0"/>
      </w:tblPr>
      <w:tblGrid>
        <w:gridCol w:w="1951"/>
        <w:gridCol w:w="10490"/>
        <w:gridCol w:w="1947"/>
      </w:tblGrid>
      <w:tr w:rsidR="001A2835" w:rsidTr="005E573A">
        <w:trPr>
          <w:tblHeader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1A2835" w:rsidRPr="001100D6" w:rsidRDefault="001A2835" w:rsidP="00D5192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</w:pPr>
            <w:r w:rsidRPr="00A43401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  <w:t xml:space="preserve">Domaines </w:t>
            </w:r>
          </w:p>
          <w:p w:rsidR="001A2835" w:rsidRPr="00A43401" w:rsidRDefault="001A2835" w:rsidP="00D5192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</w:pPr>
            <w:r w:rsidRPr="00A43401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  <w:t>où se fait sentir</w:t>
            </w:r>
            <w:r w:rsidRPr="00A43401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  <w:br/>
              <w:t xml:space="preserve"> l'impact de l'ITIE</w:t>
            </w:r>
          </w:p>
        </w:tc>
        <w:tc>
          <w:tcPr>
            <w:tcW w:w="10490" w:type="dxa"/>
            <w:shd w:val="clear" w:color="auto" w:fill="DAEEF3" w:themeFill="accent5" w:themeFillTint="33"/>
            <w:vAlign w:val="center"/>
          </w:tcPr>
          <w:p w:rsidR="001A2835" w:rsidRPr="00A43401" w:rsidRDefault="001A2835" w:rsidP="00D5192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</w:pPr>
            <w:r w:rsidRPr="00A43401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  <w:t>Effets de l'impact</w:t>
            </w:r>
          </w:p>
        </w:tc>
        <w:tc>
          <w:tcPr>
            <w:tcW w:w="1947" w:type="dxa"/>
            <w:shd w:val="clear" w:color="auto" w:fill="DAEEF3" w:themeFill="accent5" w:themeFillTint="33"/>
            <w:vAlign w:val="center"/>
          </w:tcPr>
          <w:p w:rsidR="001A2835" w:rsidRPr="00A43401" w:rsidRDefault="001A2835" w:rsidP="00D5192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</w:pPr>
            <w:r w:rsidRPr="00A43401">
              <w:rPr>
                <w:rFonts w:ascii="Calibri" w:eastAsia="Times New Roman" w:hAnsi="Calibri" w:cs="Times New Roman"/>
                <w:b/>
                <w:bCs/>
                <w:color w:val="000000"/>
                <w:szCs w:val="28"/>
                <w:lang w:eastAsia="fr-FR"/>
              </w:rPr>
              <w:t>Indicateurs de l'impact</w:t>
            </w:r>
          </w:p>
        </w:tc>
      </w:tr>
      <w:tr w:rsidR="00AC146B" w:rsidRPr="00A43401" w:rsidTr="001A2835">
        <w:tblPrEx>
          <w:tblLook w:val="04A0"/>
        </w:tblPrEx>
        <w:trPr>
          <w:trHeight w:val="360"/>
        </w:trPr>
        <w:tc>
          <w:tcPr>
            <w:tcW w:w="1951" w:type="dxa"/>
            <w:vMerge w:val="restart"/>
            <w:noWrap/>
            <w:hideMark/>
          </w:tcPr>
          <w:p w:rsidR="00AC146B" w:rsidRDefault="00AC146B" w:rsidP="001A283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8"/>
                <w:lang w:eastAsia="fr-FR"/>
              </w:rPr>
            </w:pPr>
          </w:p>
          <w:p w:rsidR="00AC146B" w:rsidRDefault="00AC146B" w:rsidP="001A283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8"/>
                <w:lang w:eastAsia="fr-FR"/>
              </w:rPr>
            </w:pPr>
          </w:p>
          <w:p w:rsidR="00AC146B" w:rsidRDefault="00AC146B" w:rsidP="001A283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8"/>
                <w:lang w:eastAsia="fr-FR"/>
              </w:rPr>
            </w:pPr>
          </w:p>
          <w:p w:rsidR="00AC146B" w:rsidRDefault="00AC146B" w:rsidP="001A283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8"/>
                <w:lang w:eastAsia="fr-FR"/>
              </w:rPr>
            </w:pPr>
          </w:p>
          <w:p w:rsidR="00AC146B" w:rsidRDefault="00AC146B" w:rsidP="001A283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8"/>
                <w:lang w:eastAsia="fr-FR"/>
              </w:rPr>
            </w:pPr>
          </w:p>
          <w:p w:rsidR="00AC146B" w:rsidRDefault="00AC146B" w:rsidP="001A283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8"/>
                <w:lang w:eastAsia="fr-FR"/>
              </w:rPr>
            </w:pPr>
          </w:p>
          <w:p w:rsidR="00AC146B" w:rsidRDefault="00AC146B" w:rsidP="001A283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8"/>
                <w:lang w:eastAsia="fr-FR"/>
              </w:rPr>
            </w:pPr>
          </w:p>
          <w:p w:rsidR="00AC146B" w:rsidRDefault="00AC146B" w:rsidP="001A283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8"/>
                <w:lang w:eastAsia="fr-FR"/>
              </w:rPr>
            </w:pPr>
            <w:r w:rsidRPr="001A2835">
              <w:rPr>
                <w:rFonts w:ascii="Calibri" w:eastAsia="Times New Roman" w:hAnsi="Calibri" w:cs="Times New Roman"/>
                <w:b/>
                <w:color w:val="000000"/>
                <w:sz w:val="24"/>
                <w:szCs w:val="28"/>
                <w:lang w:eastAsia="fr-FR"/>
              </w:rPr>
              <w:t>Climat des Affaires</w:t>
            </w:r>
          </w:p>
        </w:tc>
        <w:tc>
          <w:tcPr>
            <w:tcW w:w="10490" w:type="dxa"/>
            <w:hideMark/>
          </w:tcPr>
          <w:p w:rsidR="004D1E88" w:rsidRDefault="004D1E88" w:rsidP="00D51920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</w:p>
          <w:p w:rsidR="00AC146B" w:rsidRDefault="00AC146B" w:rsidP="00D51920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 w:rsidRPr="001A2835"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>Vulgarisation du Référentiel des flux financiers</w:t>
            </w:r>
          </w:p>
          <w:p w:rsidR="00AC146B" w:rsidRDefault="00AC146B" w:rsidP="001A2835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Un cadre adopté par toutes les parties prenantes définit chaque flux financier légal et sa circulation dans le système gouvernemental</w:t>
            </w:r>
          </w:p>
          <w:p w:rsidR="00AC146B" w:rsidRPr="00A43401" w:rsidRDefault="00AC146B" w:rsidP="00D5192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947" w:type="dxa"/>
            <w:vMerge w:val="restart"/>
            <w:noWrap/>
            <w:hideMark/>
          </w:tcPr>
          <w:p w:rsidR="00AC146B" w:rsidRPr="00AC146B" w:rsidRDefault="00AC146B" w:rsidP="00D51920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fr-FR"/>
              </w:rPr>
            </w:pPr>
          </w:p>
          <w:p w:rsidR="00AC146B" w:rsidRPr="00AC146B" w:rsidRDefault="00AC146B" w:rsidP="00D51920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fr-FR"/>
              </w:rPr>
            </w:pPr>
          </w:p>
          <w:p w:rsidR="00AC146B" w:rsidRDefault="00AC146B" w:rsidP="00D51920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fr-FR"/>
              </w:rPr>
            </w:pPr>
          </w:p>
          <w:p w:rsidR="00AC146B" w:rsidRDefault="00AC146B" w:rsidP="00D51920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fr-FR"/>
              </w:rPr>
            </w:pPr>
          </w:p>
          <w:p w:rsidR="00AC146B" w:rsidRDefault="00AC146B" w:rsidP="00D51920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fr-FR"/>
              </w:rPr>
            </w:pPr>
          </w:p>
          <w:p w:rsidR="00AC146B" w:rsidRDefault="00AC146B" w:rsidP="00D51920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fr-FR"/>
              </w:rPr>
            </w:pPr>
          </w:p>
          <w:p w:rsidR="00AC146B" w:rsidRDefault="00AC146B" w:rsidP="00D51920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8"/>
                <w:lang w:eastAsia="fr-FR"/>
              </w:rPr>
            </w:pPr>
          </w:p>
          <w:p w:rsidR="00AC146B" w:rsidRPr="00AC146B" w:rsidRDefault="00AC146B" w:rsidP="00D51920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8"/>
                <w:lang w:eastAsia="fr-FR"/>
              </w:rPr>
            </w:pPr>
            <w:r w:rsidRPr="00AC146B">
              <w:rPr>
                <w:rFonts w:ascii="Calibri" w:eastAsia="Times New Roman" w:hAnsi="Calibri" w:cs="Times New Roman"/>
                <w:b/>
                <w:color w:val="000000"/>
                <w:sz w:val="24"/>
                <w:szCs w:val="28"/>
                <w:lang w:eastAsia="fr-FR"/>
              </w:rPr>
              <w:t>Croissance</w:t>
            </w:r>
          </w:p>
        </w:tc>
      </w:tr>
      <w:tr w:rsidR="00AC146B" w:rsidRPr="00A43401" w:rsidTr="001A2835">
        <w:tblPrEx>
          <w:tblLook w:val="04A0"/>
        </w:tblPrEx>
        <w:trPr>
          <w:trHeight w:val="360"/>
        </w:trPr>
        <w:tc>
          <w:tcPr>
            <w:tcW w:w="1951" w:type="dxa"/>
            <w:vMerge/>
            <w:noWrap/>
            <w:hideMark/>
          </w:tcPr>
          <w:p w:rsidR="00AC146B" w:rsidRPr="00A43401" w:rsidRDefault="00AC146B" w:rsidP="001A2835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490" w:type="dxa"/>
            <w:hideMark/>
          </w:tcPr>
          <w:p w:rsidR="004D1E88" w:rsidRDefault="004D1E88" w:rsidP="00915190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</w:p>
          <w:p w:rsidR="00AC146B" w:rsidRDefault="00AC146B" w:rsidP="00915190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 w:rsidRPr="00915190"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>Accroissement du nombre des investisseurs</w:t>
            </w:r>
          </w:p>
          <w:p w:rsidR="00AC146B" w:rsidRPr="00AC146B" w:rsidRDefault="00AC146B" w:rsidP="00AC146B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915190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Le périmètre des entreprises </w:t>
            </w: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en évolution </w:t>
            </w:r>
            <w:r w:rsidRPr="00915190"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exponentielle</w:t>
            </w: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depuis l’année du premier Rapport ITIE en 2007.</w:t>
            </w:r>
          </w:p>
          <w:p w:rsidR="00AC146B" w:rsidRPr="00A43401" w:rsidRDefault="00AC146B" w:rsidP="00AC146B">
            <w:pPr>
              <w:pStyle w:val="Paragraphedeliste"/>
              <w:ind w:left="601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947" w:type="dxa"/>
            <w:vMerge/>
            <w:noWrap/>
            <w:hideMark/>
          </w:tcPr>
          <w:p w:rsidR="00AC146B" w:rsidRPr="00A43401" w:rsidRDefault="00AC146B" w:rsidP="00D51920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AC146B" w:rsidRPr="00A43401" w:rsidTr="001A2835">
        <w:tblPrEx>
          <w:tblLook w:val="04A0"/>
        </w:tblPrEx>
        <w:trPr>
          <w:trHeight w:val="360"/>
        </w:trPr>
        <w:tc>
          <w:tcPr>
            <w:tcW w:w="1951" w:type="dxa"/>
            <w:vMerge/>
            <w:hideMark/>
          </w:tcPr>
          <w:p w:rsidR="00AC146B" w:rsidRPr="00A43401" w:rsidRDefault="00AC146B" w:rsidP="00D5192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490" w:type="dxa"/>
            <w:hideMark/>
          </w:tcPr>
          <w:p w:rsidR="004D1E88" w:rsidRDefault="004D1E88" w:rsidP="00D51920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</w:p>
          <w:p w:rsidR="00AC146B" w:rsidRPr="00AC146B" w:rsidRDefault="00AC146B" w:rsidP="00D51920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 w:rsidRPr="00AC146B"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>Intégration de l'ITIE dans le système du Ministère des Mines</w:t>
            </w:r>
          </w:p>
          <w:p w:rsidR="00AC146B" w:rsidRDefault="00AC146B" w:rsidP="00AC146B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Les contrats des industries minières et le Cadastre Minier sont référencés dans les Rapports ITIE-RDC.</w:t>
            </w:r>
          </w:p>
          <w:p w:rsidR="00AC146B" w:rsidRPr="00A43401" w:rsidRDefault="00AC146B" w:rsidP="00AC146B">
            <w:pPr>
              <w:pStyle w:val="Paragraphedeliste"/>
              <w:ind w:left="601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947" w:type="dxa"/>
            <w:vMerge/>
            <w:hideMark/>
          </w:tcPr>
          <w:p w:rsidR="00AC146B" w:rsidRPr="00A43401" w:rsidRDefault="00AC146B" w:rsidP="00D5192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AC146B" w:rsidRPr="00A43401" w:rsidTr="001A2835">
        <w:tblPrEx>
          <w:tblLook w:val="04A0"/>
        </w:tblPrEx>
        <w:trPr>
          <w:trHeight w:val="360"/>
        </w:trPr>
        <w:tc>
          <w:tcPr>
            <w:tcW w:w="1951" w:type="dxa"/>
            <w:vMerge/>
            <w:hideMark/>
          </w:tcPr>
          <w:p w:rsidR="00AC146B" w:rsidRPr="00A43401" w:rsidRDefault="00AC146B" w:rsidP="00D5192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490" w:type="dxa"/>
            <w:hideMark/>
          </w:tcPr>
          <w:p w:rsidR="004D1E88" w:rsidRDefault="004D1E88" w:rsidP="00D51920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</w:p>
          <w:p w:rsidR="00AC146B" w:rsidRDefault="00931A29" w:rsidP="00D51920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>P</w:t>
            </w:r>
            <w:r w:rsidR="00AC146B" w:rsidRPr="00AC146B"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>ublication des Propriétaires réels</w:t>
            </w:r>
            <w:r w:rsidR="00AC146B"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 xml:space="preserve"> des industries extractives</w:t>
            </w:r>
          </w:p>
          <w:p w:rsidR="00AC146B" w:rsidRDefault="00931A29" w:rsidP="00AC146B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Depuis bientôt trois Rapports ITIE-RDC, près de 80% d’entreprises extractives non cotées en bourse, ont vu leurs propriétaires réels publiés à la grande satisfaction de l’ITIE Internationale qui en décerné le prix ITIE à la RDC en févier 2016 à Lima au Pérou.</w:t>
            </w:r>
          </w:p>
          <w:p w:rsidR="00AC146B" w:rsidRPr="00A43401" w:rsidRDefault="00AC146B" w:rsidP="00D5192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947" w:type="dxa"/>
            <w:vMerge/>
            <w:hideMark/>
          </w:tcPr>
          <w:p w:rsidR="00AC146B" w:rsidRPr="00A43401" w:rsidRDefault="00AC146B" w:rsidP="00D5192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AC146B" w:rsidRPr="00A43401" w:rsidTr="001A2835">
        <w:tblPrEx>
          <w:tblLook w:val="04A0"/>
        </w:tblPrEx>
        <w:trPr>
          <w:trHeight w:val="360"/>
        </w:trPr>
        <w:tc>
          <w:tcPr>
            <w:tcW w:w="1951" w:type="dxa"/>
            <w:vMerge/>
            <w:hideMark/>
          </w:tcPr>
          <w:p w:rsidR="00AC146B" w:rsidRPr="00A43401" w:rsidRDefault="00AC146B" w:rsidP="00D5192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490" w:type="dxa"/>
            <w:hideMark/>
          </w:tcPr>
          <w:p w:rsidR="004D1E88" w:rsidRDefault="004D1E88" w:rsidP="00D51920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</w:p>
          <w:p w:rsidR="00AC146B" w:rsidRDefault="00931A29" w:rsidP="00D51920">
            <w:pP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>L</w:t>
            </w:r>
            <w:r w:rsidRPr="00931A29"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 xml:space="preserve">es Agences internationales de notation </w:t>
            </w:r>
            <w:r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>se réfèrent à</w:t>
            </w:r>
            <w:r w:rsidR="00AC146B" w:rsidRPr="00931A29">
              <w:rPr>
                <w:rFonts w:ascii="Calibri" w:eastAsia="Times New Roman" w:hAnsi="Calibri" w:cs="Times New Roman"/>
                <w:b/>
                <w:color w:val="000000"/>
                <w:szCs w:val="28"/>
                <w:u w:val="single"/>
                <w:lang w:eastAsia="fr-FR"/>
              </w:rPr>
              <w:t xml:space="preserve"> l'ITIE </w:t>
            </w:r>
          </w:p>
          <w:p w:rsidR="00931A29" w:rsidRDefault="00931A29" w:rsidP="00931A29">
            <w:pPr>
              <w:pStyle w:val="Paragraphedeliste"/>
              <w:numPr>
                <w:ilvl w:val="0"/>
                <w:numId w:val="1"/>
              </w:numPr>
              <w:ind w:left="601" w:hanging="284"/>
              <w:jc w:val="both"/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Le Premier Ministre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>l’affirment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Cs w:val="28"/>
                <w:lang w:eastAsia="fr-FR"/>
              </w:rPr>
              <w:t xml:space="preserve"> dans une correspondance officielle</w:t>
            </w:r>
          </w:p>
          <w:p w:rsidR="00931A29" w:rsidRPr="00A43401" w:rsidRDefault="00931A29" w:rsidP="00D5192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947" w:type="dxa"/>
            <w:vMerge/>
            <w:hideMark/>
          </w:tcPr>
          <w:p w:rsidR="00AC146B" w:rsidRPr="00A43401" w:rsidRDefault="00AC146B" w:rsidP="00D51920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1A2835" w:rsidRDefault="001A2835"/>
    <w:sectPr w:rsidR="001A2835" w:rsidSect="00133879">
      <w:headerReference w:type="default" r:id="rId11"/>
      <w:footerReference w:type="first" r:id="rId12"/>
      <w:pgSz w:w="16838" w:h="11906" w:orient="landscape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F7D" w:rsidRDefault="00F90F7D" w:rsidP="00353855">
      <w:pPr>
        <w:spacing w:after="0" w:line="240" w:lineRule="auto"/>
      </w:pPr>
      <w:r>
        <w:separator/>
      </w:r>
    </w:p>
  </w:endnote>
  <w:endnote w:type="continuationSeparator" w:id="1">
    <w:p w:rsidR="00F90F7D" w:rsidRDefault="00F90F7D" w:rsidP="0035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7138342"/>
      <w:docPartObj>
        <w:docPartGallery w:val="Page Numbers (Bottom of Page)"/>
        <w:docPartUnique/>
      </w:docPartObj>
    </w:sdtPr>
    <w:sdtContent>
      <w:p w:rsidR="00133879" w:rsidRDefault="008E4944">
        <w:pPr>
          <w:pStyle w:val="Pieddepage"/>
          <w:jc w:val="right"/>
        </w:pPr>
        <w:fldSimple w:instr=" PAGE   \* MERGEFORMAT ">
          <w:r w:rsidR="00F47054">
            <w:rPr>
              <w:noProof/>
            </w:rPr>
            <w:t>- 1 -</w:t>
          </w:r>
        </w:fldSimple>
      </w:p>
    </w:sdtContent>
  </w:sdt>
  <w:p w:rsidR="00133879" w:rsidRDefault="0013387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F7D" w:rsidRDefault="00F90F7D" w:rsidP="00353855">
      <w:pPr>
        <w:spacing w:after="0" w:line="240" w:lineRule="auto"/>
      </w:pPr>
      <w:r>
        <w:separator/>
      </w:r>
    </w:p>
  </w:footnote>
  <w:footnote w:type="continuationSeparator" w:id="1">
    <w:p w:rsidR="00F90F7D" w:rsidRDefault="00F90F7D" w:rsidP="00353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AFF" w:rsidRDefault="007C3AFF">
    <w:pPr>
      <w:pStyle w:val="En-tte"/>
      <w:rPr>
        <w:rFonts w:ascii="Arial Black" w:hAnsi="Arial Black"/>
        <w:b/>
        <w:sz w:val="24"/>
      </w:rPr>
    </w:pPr>
    <w:r>
      <w:rPr>
        <w:noProof/>
        <w:lang w:eastAsia="fr-FR"/>
      </w:rPr>
      <w:drawing>
        <wp:inline distT="0" distB="0" distL="0" distR="0">
          <wp:extent cx="957155" cy="454191"/>
          <wp:effectExtent l="19050" t="0" r="0" b="0"/>
          <wp:docPr id="1" name="Image 0" descr="Courrier Electrionique G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rrier Electrionique G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5222" cy="451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</w:t>
    </w:r>
    <w:r w:rsidRPr="005E573A">
      <w:rPr>
        <w:rStyle w:val="CitationintenseCar"/>
        <w:rFonts w:ascii="Arial Black" w:hAnsi="Arial Black"/>
        <w:i w:val="0"/>
        <w:color w:val="0070C0"/>
        <w:sz w:val="28"/>
      </w:rPr>
      <w:t>EVALUATION DE L’IMPACT DE L’ITIE EN RDC</w:t>
    </w:r>
    <w:r w:rsidR="005E573A">
      <w:rPr>
        <w:b/>
        <w:sz w:val="28"/>
      </w:rPr>
      <w:t xml:space="preserve">              </w:t>
    </w:r>
    <w:r w:rsidRPr="005E573A">
      <w:rPr>
        <w:rFonts w:ascii="Arial Black" w:hAnsi="Arial Black"/>
        <w:b/>
        <w:sz w:val="20"/>
      </w:rPr>
      <w:t>Secrétariat Technique</w:t>
    </w:r>
  </w:p>
  <w:p w:rsidR="007C3AFF" w:rsidRPr="007C3AFF" w:rsidRDefault="007C3AFF">
    <w:pPr>
      <w:pStyle w:val="En-tte"/>
      <w:rPr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67BFA"/>
    <w:multiLevelType w:val="hybridMultilevel"/>
    <w:tmpl w:val="10AC14CA"/>
    <w:lvl w:ilvl="0" w:tplc="040C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805A4D"/>
    <w:rsid w:val="000734E4"/>
    <w:rsid w:val="0011052B"/>
    <w:rsid w:val="00133879"/>
    <w:rsid w:val="001A2835"/>
    <w:rsid w:val="001D7E26"/>
    <w:rsid w:val="00210DDF"/>
    <w:rsid w:val="003106FC"/>
    <w:rsid w:val="00353855"/>
    <w:rsid w:val="00387C72"/>
    <w:rsid w:val="004A23CA"/>
    <w:rsid w:val="004A67CD"/>
    <w:rsid w:val="004D1E88"/>
    <w:rsid w:val="005933CB"/>
    <w:rsid w:val="005E573A"/>
    <w:rsid w:val="00714904"/>
    <w:rsid w:val="007C3AFF"/>
    <w:rsid w:val="00805A4D"/>
    <w:rsid w:val="008113F9"/>
    <w:rsid w:val="00833A84"/>
    <w:rsid w:val="0084722F"/>
    <w:rsid w:val="00877832"/>
    <w:rsid w:val="008E4944"/>
    <w:rsid w:val="00915190"/>
    <w:rsid w:val="00931A29"/>
    <w:rsid w:val="009A49C8"/>
    <w:rsid w:val="009B62D1"/>
    <w:rsid w:val="00A40A34"/>
    <w:rsid w:val="00A43371"/>
    <w:rsid w:val="00A43A6C"/>
    <w:rsid w:val="00AC146B"/>
    <w:rsid w:val="00C2175D"/>
    <w:rsid w:val="00C242B3"/>
    <w:rsid w:val="00CC54B9"/>
    <w:rsid w:val="00CD4453"/>
    <w:rsid w:val="00CE57DD"/>
    <w:rsid w:val="00D27A2B"/>
    <w:rsid w:val="00DE66CF"/>
    <w:rsid w:val="00DF7E49"/>
    <w:rsid w:val="00EC4082"/>
    <w:rsid w:val="00EC57E0"/>
    <w:rsid w:val="00ED59C8"/>
    <w:rsid w:val="00F47054"/>
    <w:rsid w:val="00F90F7D"/>
    <w:rsid w:val="00FB2881"/>
    <w:rsid w:val="00FE6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0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05A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53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3855"/>
  </w:style>
  <w:style w:type="paragraph" w:styleId="Pieddepage">
    <w:name w:val="footer"/>
    <w:basedOn w:val="Normal"/>
    <w:link w:val="PieddepageCar"/>
    <w:uiPriority w:val="99"/>
    <w:unhideWhenUsed/>
    <w:rsid w:val="00353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3855"/>
  </w:style>
  <w:style w:type="paragraph" w:styleId="Textedebulles">
    <w:name w:val="Balloon Text"/>
    <w:basedOn w:val="Normal"/>
    <w:link w:val="TextedebullesCar"/>
    <w:uiPriority w:val="99"/>
    <w:semiHidden/>
    <w:unhideWhenUsed/>
    <w:rsid w:val="0035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385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A23CA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573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573A"/>
    <w:rPr>
      <w:b/>
      <w:bCs/>
      <w:i/>
      <w:iCs/>
      <w:color w:val="4F81BD" w:themeColor="accent1"/>
    </w:rPr>
  </w:style>
  <w:style w:type="paragraph" w:styleId="Sansinterligne">
    <w:name w:val="No Spacing"/>
    <w:link w:val="SansinterligneCar"/>
    <w:uiPriority w:val="1"/>
    <w:qFormat/>
    <w:rsid w:val="00EC57E0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C57E0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25BC7D7E29B449D848DB1D352D06D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A7C2E5-FBB1-4FA5-957C-FF95F5ED5991}"/>
      </w:docPartPr>
      <w:docPartBody>
        <w:p w:rsidR="005A514A" w:rsidRDefault="00745C89" w:rsidP="00745C89">
          <w:pPr>
            <w:pStyle w:val="C25BC7D7E29B449D848DB1D352D06D65"/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</w:rPr>
            <w:t>[Tapez le titre du document]</w:t>
          </w:r>
        </w:p>
      </w:docPartBody>
    </w:docPart>
    <w:docPart>
      <w:docPartPr>
        <w:name w:val="58DB97EAD9874FECA7956DCFC80FC6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37F20F-7868-43C6-B307-F956336CDC50}"/>
      </w:docPartPr>
      <w:docPartBody>
        <w:p w:rsidR="005A514A" w:rsidRDefault="00745C89" w:rsidP="00745C89">
          <w:pPr>
            <w:pStyle w:val="58DB97EAD9874FECA7956DCFC80FC6B9"/>
          </w:pPr>
          <w:r>
            <w:rPr>
              <w:color w:val="484329" w:themeColor="background2" w:themeShade="3F"/>
              <w:sz w:val="28"/>
              <w:szCs w:val="28"/>
            </w:rPr>
            <w:t>[Tapez le sous-titre du document]</w:t>
          </w:r>
        </w:p>
      </w:docPartBody>
    </w:docPart>
    <w:docPart>
      <w:docPartPr>
        <w:name w:val="44259CCD06744D66BE91461249FA0C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3E3C6D-F62A-44F2-91B0-69F3ADD23CF5}"/>
      </w:docPartPr>
      <w:docPartBody>
        <w:p w:rsidR="005A514A" w:rsidRDefault="00745C89" w:rsidP="00745C89">
          <w:pPr>
            <w:pStyle w:val="44259CCD06744D66BE91461249FA0C38"/>
          </w:pPr>
          <w:r>
            <w:t>[Tapez le résumé du document ici. Il s'agit généralement d'une courte synthèse du document. Tapez le résumé du document ici. Il s'agit généralement d'une courte synthèse du document.]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45C89"/>
    <w:rsid w:val="005A514A"/>
    <w:rsid w:val="00745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1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07AF96DA162440CADFB0DCF36E61C1E">
    <w:name w:val="707AF96DA162440CADFB0DCF36E61C1E"/>
    <w:rsid w:val="00745C89"/>
  </w:style>
  <w:style w:type="paragraph" w:customStyle="1" w:styleId="C25BC7D7E29B449D848DB1D352D06D65">
    <w:name w:val="C25BC7D7E29B449D848DB1D352D06D65"/>
    <w:rsid w:val="00745C89"/>
  </w:style>
  <w:style w:type="paragraph" w:customStyle="1" w:styleId="58DB97EAD9874FECA7956DCFC80FC6B9">
    <w:name w:val="58DB97EAD9874FECA7956DCFC80FC6B9"/>
    <w:rsid w:val="00745C89"/>
  </w:style>
  <w:style w:type="paragraph" w:customStyle="1" w:styleId="44259CCD06744D66BE91461249FA0C38">
    <w:name w:val="44259CCD06744D66BE91461249FA0C38"/>
    <w:rsid w:val="00745C89"/>
  </w:style>
  <w:style w:type="paragraph" w:customStyle="1" w:styleId="36B0ECD8054B4A57BE5D1F4F7975CA92">
    <w:name w:val="36B0ECD8054B4A57BE5D1F4F7975CA92"/>
    <w:rsid w:val="00745C89"/>
  </w:style>
  <w:style w:type="paragraph" w:customStyle="1" w:styleId="B70623E7B79640DA8C391E6E066CF3D1">
    <w:name w:val="B70623E7B79640DA8C391E6E066CF3D1"/>
    <w:rsid w:val="00745C89"/>
  </w:style>
  <w:style w:type="paragraph" w:customStyle="1" w:styleId="1BEFD1587C7F4BCDB4EB0863A42166ED">
    <w:name w:val="1BEFD1587C7F4BCDB4EB0863A42166ED"/>
    <w:rsid w:val="00745C89"/>
  </w:style>
  <w:style w:type="paragraph" w:customStyle="1" w:styleId="6BD6DCB69A044B0B878F1C57E00F65F6">
    <w:name w:val="6BD6DCB69A044B0B878F1C57E00F65F6"/>
    <w:rsid w:val="00745C89"/>
  </w:style>
  <w:style w:type="paragraph" w:customStyle="1" w:styleId="8555A0CEBC524856AD1522AA2F93DDDC">
    <w:name w:val="8555A0CEBC524856AD1522AA2F93DDDC"/>
    <w:rsid w:val="00745C89"/>
  </w:style>
  <w:style w:type="paragraph" w:customStyle="1" w:styleId="C09CCD1F0DF247BDB6B21696A30C76A9">
    <w:name w:val="C09CCD1F0DF247BDB6B21696A30C76A9"/>
    <w:rsid w:val="00745C89"/>
  </w:style>
  <w:style w:type="paragraph" w:customStyle="1" w:styleId="1EC4E89F5921432AB073941257FDE7E6">
    <w:name w:val="1EC4E89F5921432AB073941257FDE7E6"/>
    <w:rsid w:val="00745C8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2016-05-26T00:00:00</PublishDate>
  <Abstract>Les effets de l’impact de la mise en œuvre  de l’ITIE en RDC  ont été collationnés par les Experts du Secrétariat Technique de l’ITIE-RDC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30D020-F06C-4FF9-A4E8-879E3E309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702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Evaluation de l’impact de l’ITIE</vt:lpstr>
    </vt:vector>
  </TitlesOfParts>
  <Company/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de l’impact de l’ITIE</dc:title>
  <dc:subject>En République Démocratique du Congo</dc:subject>
  <dc:creator>PROF MACK</dc:creator>
  <cp:lastModifiedBy>PROF MACK</cp:lastModifiedBy>
  <cp:revision>2</cp:revision>
  <cp:lastPrinted>2016-05-26T11:17:00Z</cp:lastPrinted>
  <dcterms:created xsi:type="dcterms:W3CDTF">2016-05-26T14:26:00Z</dcterms:created>
  <dcterms:modified xsi:type="dcterms:W3CDTF">2016-05-26T14:26:00Z</dcterms:modified>
</cp:coreProperties>
</file>