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457138205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b w:val="0"/>
          <w:bCs w:val="0"/>
          <w:color w:val="000000"/>
          <w:sz w:val="22"/>
          <w:szCs w:val="28"/>
          <w:lang w:eastAsia="fr-FR"/>
        </w:rPr>
      </w:sdtEndPr>
      <w:sdtContent>
        <w:tbl>
          <w:tblPr>
            <w:tblpPr w:leftFromText="187" w:rightFromText="187" w:horzAnchor="margin" w:tblpYSpec="bottom"/>
            <w:tblW w:w="3242" w:type="pct"/>
            <w:tblLook w:val="04A0"/>
          </w:tblPr>
          <w:tblGrid>
            <w:gridCol w:w="9220"/>
          </w:tblGrid>
          <w:tr w:rsidR="00EC57E0" w:rsidTr="00CD4453">
            <w:trPr>
              <w:trHeight w:val="685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re"/>
                <w:id w:val="703864190"/>
                <w:placeholder>
                  <w:docPart w:val="C25BC7D7E29B449D848DB1D352D06D6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6"/>
                </w:rPr>
              </w:sdtEnd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F47054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56"/>
                        <w:szCs w:val="48"/>
                      </w:rPr>
                      <w:t>Evaluation de l’impact de l’ITIE</w:t>
                    </w:r>
                  </w:p>
                </w:tc>
              </w:sdtContent>
            </w:sdt>
          </w:tr>
          <w:tr w:rsidR="00EC57E0" w:rsidTr="00CD4453">
            <w:trPr>
              <w:trHeight w:val="415"/>
            </w:trPr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ous-titre"/>
                <w:id w:val="703864195"/>
                <w:placeholder>
                  <w:docPart w:val="58DB97EAD9874FECA7956DCFC80FC6B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En République Démocratique du Congo</w:t>
                    </w:r>
                  </w:p>
                </w:tc>
              </w:sdtContent>
            </w:sdt>
          </w:tr>
          <w:tr w:rsidR="00EC57E0" w:rsidTr="00CD4453">
            <w:trPr>
              <w:trHeight w:val="415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EC57E0" w:rsidTr="00CD4453">
            <w:trPr>
              <w:trHeight w:val="643"/>
            </w:trPr>
            <w:sdt>
              <w:sdtPr>
                <w:alias w:val="Résumé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</w:pPr>
                    <w:r>
                      <w:t>Les effets de l’impact de la mise en œuvre  de l’ITIE en RDC  ont été collationnés par les Experts du Secrétariat Technique de l’ITIE-RDC</w:t>
                    </w:r>
                  </w:p>
                </w:tc>
              </w:sdtContent>
            </w:sdt>
          </w:tr>
          <w:tr w:rsidR="00EC57E0" w:rsidTr="00CD4453">
            <w:trPr>
              <w:trHeight w:val="332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</w:pPr>
              </w:p>
            </w:tc>
          </w:tr>
          <w:tr w:rsidR="00EC57E0" w:rsidTr="00CD4453">
            <w:trPr>
              <w:trHeight w:val="311"/>
            </w:trPr>
            <w:sdt>
              <w:sdtPr>
                <w:rPr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6-05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9220" w:type="dxa"/>
                  </w:tcPr>
                  <w:p w:rsidR="00EC57E0" w:rsidRDefault="00EC57E0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26/05/2016</w:t>
                    </w:r>
                  </w:p>
                </w:tc>
              </w:sdtContent>
            </w:sdt>
          </w:tr>
          <w:tr w:rsidR="00EC57E0" w:rsidTr="00CD4453">
            <w:trPr>
              <w:trHeight w:val="332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  <w:rPr>
                    <w:b/>
                    <w:bCs/>
                  </w:rPr>
                </w:pPr>
              </w:p>
            </w:tc>
          </w:tr>
        </w:tbl>
        <w:p w:rsidR="00EC57E0" w:rsidRDefault="00CD4453"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-193675</wp:posOffset>
                </wp:positionV>
                <wp:extent cx="3954780" cy="1891030"/>
                <wp:effectExtent l="19050" t="0" r="7620" b="0"/>
                <wp:wrapThrough wrapText="bothSides">
                  <wp:wrapPolygon edited="0">
                    <wp:start x="-104" y="0"/>
                    <wp:lineTo x="-104" y="21324"/>
                    <wp:lineTo x="19665" y="21324"/>
                    <wp:lineTo x="19769" y="21324"/>
                    <wp:lineTo x="20289" y="20889"/>
                    <wp:lineTo x="21121" y="20889"/>
                    <wp:lineTo x="21434" y="19801"/>
                    <wp:lineTo x="21225" y="17408"/>
                    <wp:lineTo x="21642" y="14144"/>
                    <wp:lineTo x="21642" y="8704"/>
                    <wp:lineTo x="18208" y="7398"/>
                    <wp:lineTo x="17376" y="6963"/>
                    <wp:lineTo x="21642" y="5222"/>
                    <wp:lineTo x="21642" y="3046"/>
                    <wp:lineTo x="20705" y="435"/>
                    <wp:lineTo x="20393" y="0"/>
                    <wp:lineTo x="-104" y="0"/>
                  </wp:wrapPolygon>
                </wp:wrapThrough>
                <wp:docPr id="3" name="Image 1" descr="C:\Users\PROF MACK\Pictures\LOGO ITIE RDC VF\Web Pet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F MACK\Pictures\LOGO ITIE RDC VF\Web Pet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4780" cy="189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C57E0" w:rsidRDefault="00CE57DD">
          <w:pPr>
            <w:rPr>
              <w:rFonts w:ascii="Calibri" w:eastAsia="Times New Roman" w:hAnsi="Calibri" w:cs="Times New Roman"/>
              <w:color w:val="000000"/>
              <w:szCs w:val="28"/>
              <w:lang w:eastAsia="fr-FR"/>
            </w:rPr>
          </w:pPr>
          <w:r>
            <w:rPr>
              <w:rFonts w:ascii="Calibri" w:eastAsia="Times New Roman" w:hAnsi="Calibri" w:cs="Times New Roman"/>
              <w:noProof/>
              <w:color w:val="000000"/>
              <w:szCs w:val="28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659765</wp:posOffset>
                </wp:positionV>
                <wp:extent cx="5086350" cy="4267200"/>
                <wp:effectExtent l="19050" t="0" r="0" b="0"/>
                <wp:wrapThrough wrapText="bothSides">
                  <wp:wrapPolygon edited="0">
                    <wp:start x="-81" y="0"/>
                    <wp:lineTo x="-81" y="13982"/>
                    <wp:lineTo x="6472" y="15429"/>
                    <wp:lineTo x="7443" y="17839"/>
                    <wp:lineTo x="7766" y="17839"/>
                    <wp:lineTo x="8252" y="17839"/>
                    <wp:lineTo x="10193" y="17164"/>
                    <wp:lineTo x="10193" y="16971"/>
                    <wp:lineTo x="10679" y="16971"/>
                    <wp:lineTo x="16018" y="15525"/>
                    <wp:lineTo x="15937" y="0"/>
                    <wp:lineTo x="-81" y="0"/>
                  </wp:wrapPolygon>
                </wp:wrapThrough>
                <wp:docPr id="2" name="Objet 1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3191622" cy="2500330"/>
                          <a:chOff x="142844" y="2285992"/>
                          <a:chExt cx="3191622" cy="2500330"/>
                        </a:xfrm>
                      </a:grpSpPr>
                      <a:grpSp>
                        <a:nvGrpSpPr>
                          <a:cNvPr id="3" name="Groupe 13"/>
                          <a:cNvGrpSpPr/>
                        </a:nvGrpSpPr>
                        <a:grpSpPr>
                          <a:xfrm>
                            <a:off x="142844" y="2285992"/>
                            <a:ext cx="3191622" cy="2500330"/>
                            <a:chOff x="285720" y="1285860"/>
                            <a:chExt cx="2341362" cy="1834233"/>
                          </a:xfrm>
                        </a:grpSpPr>
                        <a:pic>
                          <a:nvPicPr>
                            <a:cNvPr id="1029" name="Picture 5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85720" y="1285860"/>
                              <a:ext cx="1752518" cy="1428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</a:pic>
                        <a:sp>
                          <a:nvSpPr>
                            <a:cNvPr id="10" name="Rectangle 9"/>
                            <a:cNvSpPr/>
                          </a:nvSpPr>
                          <a:spPr>
                            <a:xfrm rot="20686105">
                              <a:off x="483942" y="2412207"/>
                              <a:ext cx="2143140" cy="70788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sz="4000" b="1" cap="all" spc="0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gradFill>
                                      <a:gsLst>
                                        <a:gs pos="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  <a:gs pos="43000">
                                          <a:schemeClr val="accent4">
                                            <a:satMod val="255000"/>
                                          </a:schemeClr>
                                        </a:gs>
                                        <a:gs pos="48000">
                                          <a:schemeClr val="accent4">
                                            <a:shade val="85000"/>
                                            <a:satMod val="255000"/>
                                          </a:schemeClr>
                                        </a:gs>
                                        <a:gs pos="10000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AR CENA" pitchFamily="2" charset="0"/>
                                  </a:rPr>
                                  <a:t>Impact</a:t>
                                </a:r>
                                <a:endParaRPr lang="fr-FR" sz="4000" b="1" cap="all" spc="0" dirty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gradFill>
                                    <a:gsLst>
                                      <a:gs pos="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  <a:gs pos="43000">
                                        <a:schemeClr val="accent4">
                                          <a:satMod val="255000"/>
                                        </a:schemeClr>
                                      </a:gs>
                                      <a:gs pos="48000">
                                        <a:schemeClr val="accent4">
                                          <a:shade val="85000"/>
                                          <a:satMod val="255000"/>
                                        </a:schemeClr>
                                      </a:gs>
                                      <a:gs pos="10000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  <a:latin typeface="AR CENA" pitchFamily="2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anchor>
            </w:drawing>
          </w:r>
          <w:r w:rsidR="00EC57E0">
            <w:rPr>
              <w:rFonts w:ascii="Calibri" w:eastAsia="Times New Roman" w:hAnsi="Calibri" w:cs="Times New Roman"/>
              <w:color w:val="000000"/>
              <w:szCs w:val="28"/>
              <w:lang w:eastAsia="fr-FR"/>
            </w:rPr>
            <w:br w:type="page"/>
          </w:r>
        </w:p>
      </w:sdtContent>
    </w:sdt>
    <w:tbl>
      <w:tblPr>
        <w:tblStyle w:val="Grilledutableau"/>
        <w:tblW w:w="14388" w:type="dxa"/>
        <w:tblLook w:val="06A0"/>
      </w:tblPr>
      <w:tblGrid>
        <w:gridCol w:w="1951"/>
        <w:gridCol w:w="10490"/>
        <w:gridCol w:w="1947"/>
      </w:tblGrid>
      <w:tr w:rsidR="00805A4D" w:rsidTr="009B62D1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805A4D" w:rsidRPr="001100D6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lastRenderedPageBreak/>
              <w:t xml:space="preserve">Domaines </w:t>
            </w:r>
          </w:p>
          <w:p w:rsidR="00805A4D" w:rsidRPr="00A43401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805A4D" w:rsidRPr="00A43401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805A4D" w:rsidRDefault="00C242B3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Résultat</w:t>
            </w:r>
          </w:p>
          <w:p w:rsidR="00C242B3" w:rsidRPr="00A43401" w:rsidRDefault="00C242B3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probable</w:t>
            </w:r>
          </w:p>
        </w:tc>
      </w:tr>
      <w:tr w:rsidR="00833A84" w:rsidTr="00805A4D">
        <w:trPr>
          <w:tblHeader/>
        </w:trPr>
        <w:tc>
          <w:tcPr>
            <w:tcW w:w="1951" w:type="dxa"/>
            <w:vMerge w:val="restart"/>
            <w:vAlign w:val="center"/>
          </w:tcPr>
          <w:p w:rsidR="00833A84" w:rsidRPr="00A43401" w:rsidRDefault="00833A84" w:rsidP="000B458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Fiscalité</w:t>
            </w: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</w:p>
          <w:p w:rsidR="00833A84" w:rsidRPr="001100D6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100D6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Pr="001100D6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Certification de la déclaration des  Agences Financières de l’Etat (AFE)</w:t>
            </w:r>
          </w:p>
          <w:p w:rsidR="004A23CA" w:rsidRPr="004A23CA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déclaration des AFE est certifiée par l’Inspection Générale des Finances (IGF) depuis le Rapport ITIE-RDC 2010. </w:t>
            </w:r>
          </w:p>
          <w:p w:rsidR="00833A84" w:rsidRPr="004A23CA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L’IGF émet une opinion sur la qualité des données des AFE et des recommandations pour l’amélioration tout en conciliant la déclaration des A</w:t>
            </w:r>
            <w:r w:rsidR="004A23CA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avec celle du trésor public.</w:t>
            </w:r>
          </w:p>
          <w:p w:rsidR="00833A84" w:rsidRPr="004A23CA" w:rsidRDefault="004A23CA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</w:t>
            </w:r>
            <w:r w:rsidR="00833A84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’IGF inerte depuis longtemps  </w:t>
            </w:r>
            <w:r w:rsidR="00AC146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reprend</w:t>
            </w:r>
            <w:r w:rsidR="00833A84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le poil de la bête à travers la mission ITIE.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833A84" w:rsidRPr="00833A84" w:rsidRDefault="00833A84" w:rsidP="000B458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833A84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 xml:space="preserve">Mesures </w:t>
            </w:r>
          </w:p>
          <w:p w:rsidR="00833A84" w:rsidRPr="00A43401" w:rsidRDefault="00833A84" w:rsidP="000B458E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833A84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anti-corruption</w:t>
            </w: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Informatisation de la DGRAD</w:t>
            </w:r>
          </w:p>
          <w:p w:rsidR="00833A84" w:rsidRPr="00387C72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Direction Générale des Recettes Administratives et Domaniales (DGRAD) qui jadis effectuait les opérations de perception 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des recettes manuellement s’informatis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 à la demande des parties prenantes de l’ITIE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A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ujourd’hui,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DGRAD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qui était à la traine des autres A</w:t>
            </w:r>
            <w:r w:rsidR="000734E4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,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est devenue la meilleur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dans la déclaration à l’ITIE.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805A4D">
            <w:pPr>
              <w:ind w:firstLine="847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Amélioration de la traçabilité des recettes</w:t>
            </w:r>
          </w:p>
          <w:p w:rsidR="00833A84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Pour permettre à l’Administrateur Indépendant de mieux réconcilier les déclarations, les A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ont été obligées de produire les documents d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 preuve de paiement (quittance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) aux entreprises, ceci a facilité d’expliquer les écarts.</w:t>
            </w:r>
          </w:p>
          <w:p w:rsidR="00833A84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Numéros d’Identification Fiscal (NIF) octroyés par la DGI sont agencés dans toutes les AFE de sorte que les paiements de chaque entreprise sont  facilement retracés et réconciliés.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Intégration </w:t>
            </w:r>
            <w:r w:rsidR="003106FC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de l’ITIE dans le système</w:t>
            </w: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du Ministère des Finances</w:t>
            </w:r>
          </w:p>
          <w:p w:rsidR="00833A84" w:rsidRDefault="007C3AFF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recettes  du secteur extractif</w:t>
            </w:r>
            <w:r w:rsidR="003106F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du Ministère des Finances sont référencées dans les Rapports ITIE-RDC.</w:t>
            </w:r>
          </w:p>
          <w:p w:rsidR="00833A84" w:rsidRPr="00A43401" w:rsidRDefault="00833A84" w:rsidP="00805A4D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7C3AFF" w:rsidTr="005E573A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7C3AFF" w:rsidRPr="001100D6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lastRenderedPageBreak/>
              <w:t xml:space="preserve">Domaines </w:t>
            </w:r>
          </w:p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Indicateurs de l'impact</w:t>
            </w:r>
          </w:p>
        </w:tc>
      </w:tr>
      <w:tr w:rsidR="007C3AFF" w:rsidTr="00D51920">
        <w:trPr>
          <w:tblHeader/>
        </w:trPr>
        <w:tc>
          <w:tcPr>
            <w:tcW w:w="1951" w:type="dxa"/>
            <w:vMerge w:val="restart"/>
            <w:vAlign w:val="center"/>
          </w:tcPr>
          <w:p w:rsidR="007C3AFF" w:rsidRPr="00A43401" w:rsidRDefault="007C3AFF" w:rsidP="007C3AF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7C3AFF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Débat Public</w:t>
            </w:r>
          </w:p>
        </w:tc>
        <w:tc>
          <w:tcPr>
            <w:tcW w:w="10490" w:type="dxa"/>
            <w:vAlign w:val="center"/>
          </w:tcPr>
          <w:p w:rsidR="007C3AFF" w:rsidRPr="001100D6" w:rsidRDefault="007C3AFF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100D6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Pr="007C3AFF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Vulgarisation de l'ITIE</w:t>
            </w:r>
          </w:p>
          <w:p w:rsidR="007C3AFF" w:rsidRDefault="004A23CA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revenus du secteur extractif sont connus du public.</w:t>
            </w:r>
          </w:p>
          <w:p w:rsidR="00636F11" w:rsidRPr="00636F11" w:rsidRDefault="00636F11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Style w:val="onecomwebmail-size"/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636F11">
              <w:rPr>
                <w:rStyle w:val="onecomwebmail-size"/>
                <w:color w:val="000000"/>
                <w:shd w:val="clear" w:color="auto" w:fill="FFFFFF"/>
              </w:rPr>
              <w:t>Le Gouvernement communique</w:t>
            </w:r>
            <w:r w:rsidRPr="00636F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36F11">
              <w:rPr>
                <w:rStyle w:val="onecomwebmail-size"/>
                <w:b/>
                <w:bCs/>
                <w:color w:val="000000"/>
                <w:shd w:val="clear" w:color="auto" w:fill="FFFFFF"/>
              </w:rPr>
              <w:t>les encaissements</w:t>
            </w:r>
            <w:r w:rsidRPr="00636F11">
              <w:rPr>
                <w:rStyle w:val="onecomwebmail-size"/>
                <w:color w:val="000000"/>
                <w:shd w:val="clear" w:color="auto" w:fill="FFFFFF"/>
              </w:rPr>
              <w:t xml:space="preserve">, </w:t>
            </w:r>
            <w:r w:rsidRPr="00411C75">
              <w:rPr>
                <w:rStyle w:val="onecomwebmail-size"/>
                <w:b/>
                <w:color w:val="000000"/>
                <w:shd w:val="clear" w:color="auto" w:fill="FFFFFF"/>
              </w:rPr>
              <w:t>les décaissements et l’affectation</w:t>
            </w:r>
            <w:r w:rsidRPr="00636F11">
              <w:rPr>
                <w:rStyle w:val="onecomwebmail-size"/>
                <w:color w:val="000000"/>
                <w:shd w:val="clear" w:color="auto" w:fill="FFFFFF"/>
              </w:rPr>
              <w:t xml:space="preserve"> des fonds des projets</w:t>
            </w:r>
            <w:r w:rsidRPr="00636F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36F11">
              <w:rPr>
                <w:rStyle w:val="onecomwebmail-size"/>
                <w:b/>
                <w:bCs/>
                <w:color w:val="000000"/>
                <w:shd w:val="clear" w:color="auto" w:fill="FFFFFF"/>
              </w:rPr>
              <w:t>"minier"</w:t>
            </w:r>
            <w:r w:rsidRPr="00636F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36F11">
              <w:rPr>
                <w:rStyle w:val="onecomwebmail-size"/>
                <w:color w:val="000000"/>
                <w:shd w:val="clear" w:color="auto" w:fill="FFFFFF"/>
              </w:rPr>
              <w:t>et des « infrastructures » libellés dans le </w:t>
            </w:r>
            <w:r w:rsidRPr="00636F1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36F11">
              <w:rPr>
                <w:rStyle w:val="onecomwebmail-size"/>
                <w:color w:val="000000"/>
                <w:shd w:val="clear" w:color="auto" w:fill="FFFFFF"/>
              </w:rPr>
              <w:t>contrat chinois</w:t>
            </w:r>
            <w:r>
              <w:rPr>
                <w:rStyle w:val="onecomwebmail-size"/>
                <w:rFonts w:ascii="Helvetica" w:hAnsi="Helvetica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7C3AFF" w:rsidRPr="00A43401" w:rsidRDefault="004A23CA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Les universitaires publient des mémoires </w:t>
            </w:r>
            <w:r w:rsidR="004A67CD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sur les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Rapports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ITIE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</w:tc>
        <w:tc>
          <w:tcPr>
            <w:tcW w:w="1947" w:type="dxa"/>
            <w:vMerge w:val="restart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Redevabilité</w:t>
            </w:r>
          </w:p>
        </w:tc>
      </w:tr>
      <w:tr w:rsidR="004A67CD" w:rsidTr="00D51920">
        <w:trPr>
          <w:tblHeader/>
        </w:trPr>
        <w:tc>
          <w:tcPr>
            <w:tcW w:w="1951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9A49C8" w:rsidRPr="001100D6" w:rsidRDefault="009A49C8" w:rsidP="009A49C8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 la Société civile</w:t>
            </w:r>
          </w:p>
          <w:p w:rsidR="009A49C8" w:rsidRDefault="009A49C8" w:rsidP="009A49C8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I</w:t>
            </w:r>
            <w:r w:rsid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mplication de la société civile dans l’évaluation du processus</w:t>
            </w:r>
          </w:p>
          <w:p w:rsidR="00A43371" w:rsidRPr="00A43371" w:rsidRDefault="009A49C8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 Gouvernement communique les décaissements</w:t>
            </w:r>
            <w:r w:rsidR="00A55D6F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, les </w:t>
            </w:r>
            <w:r w:rsidR="00F55343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décaissements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et l’affectation des fonds du projet « infrastructures » libellé dans le  contrat chinois.</w:t>
            </w:r>
          </w:p>
          <w:p w:rsidR="00A43371" w:rsidRDefault="00A43371" w:rsidP="009A49C8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Apparition de plusieurs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ONG et 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plateformes de la SC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intervenant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dans le secteur extractif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  <w:p w:rsidR="004A67CD" w:rsidRPr="00A43401" w:rsidRDefault="00915190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Parlement adopte une loi sur les Hydrocarbures où la Société Civile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réussi à intégrer l’obligation à déclarer à l’ITIE</w:t>
            </w:r>
            <w:r w:rsidR="005933C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et autres articles sur la transpa</w:t>
            </w:r>
            <w:r w:rsidR="005933C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rence.</w:t>
            </w:r>
          </w:p>
        </w:tc>
        <w:tc>
          <w:tcPr>
            <w:tcW w:w="1947" w:type="dxa"/>
            <w:vMerge/>
            <w:vAlign w:val="center"/>
          </w:tcPr>
          <w:p w:rsidR="004A67CD" w:rsidRPr="00A43401" w:rsidRDefault="004A67CD" w:rsidP="00D51920">
            <w:pPr>
              <w:ind w:firstLine="847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E6330" w:rsidTr="00D51920">
        <w:trPr>
          <w:tblHeader/>
        </w:trPr>
        <w:tc>
          <w:tcPr>
            <w:tcW w:w="1951" w:type="dxa"/>
            <w:vMerge/>
            <w:vAlign w:val="center"/>
          </w:tcPr>
          <w:p w:rsidR="00FE6330" w:rsidRPr="00A43401" w:rsidRDefault="00FE6330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FE6330" w:rsidRPr="001100D6" w:rsidRDefault="00FE6330" w:rsidP="00FE633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des entreprises</w:t>
            </w:r>
          </w:p>
          <w:p w:rsidR="00FE6330" w:rsidRPr="00FE6330" w:rsidRDefault="00FE6330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Chambre des Mines </w:t>
            </w:r>
            <w:r w:rsidR="00A43A6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crée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une cellule ITIE </w:t>
            </w:r>
          </w:p>
          <w:p w:rsidR="00A43A6C" w:rsidRPr="00A43A6C" w:rsidRDefault="00FE6330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Les entreprises contribuent financièrement à la mise en </w:t>
            </w:r>
            <w:r w:rsidR="00A43A6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œuvre</w:t>
            </w:r>
          </w:p>
          <w:p w:rsidR="00877832" w:rsidRPr="00877832" w:rsidRDefault="00A43A6C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tenue de la comptabilité au sein de plusieurs entreprises est améliorée</w:t>
            </w:r>
          </w:p>
          <w:p w:rsidR="00FE6330" w:rsidRDefault="00877832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désignation des points focaux ITIE.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</w:p>
        </w:tc>
        <w:tc>
          <w:tcPr>
            <w:tcW w:w="1947" w:type="dxa"/>
            <w:vMerge/>
            <w:vAlign w:val="center"/>
          </w:tcPr>
          <w:p w:rsidR="00FE6330" w:rsidRPr="00A43401" w:rsidRDefault="00FE6330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77832" w:rsidTr="00D51920">
        <w:trPr>
          <w:tblHeader/>
        </w:trPr>
        <w:tc>
          <w:tcPr>
            <w:tcW w:w="1951" w:type="dxa"/>
            <w:vMerge/>
            <w:vAlign w:val="center"/>
          </w:tcPr>
          <w:p w:rsidR="00877832" w:rsidRPr="00A43401" w:rsidRDefault="00877832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77832" w:rsidRPr="001100D6" w:rsidRDefault="00877832" w:rsidP="00877832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des parties déclarantes de l’Etat</w:t>
            </w:r>
          </w:p>
          <w:p w:rsidR="00877832" w:rsidRPr="00877832" w:rsidRDefault="00877832" w:rsidP="00877832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AFE et les EPE désignent des points focaux ITIE</w:t>
            </w:r>
          </w:p>
          <w:p w:rsidR="00877832" w:rsidRDefault="00877832" w:rsidP="0084722F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77832" w:rsidRPr="00A43401" w:rsidRDefault="00877832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4A67CD" w:rsidTr="00D51920">
        <w:trPr>
          <w:tblHeader/>
        </w:trPr>
        <w:tc>
          <w:tcPr>
            <w:tcW w:w="1951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A43371" w:rsidRPr="001100D6" w:rsidRDefault="00A43371" w:rsidP="00A43371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Gouvernance du Groupe Multipartite</w:t>
            </w:r>
          </w:p>
          <w:p w:rsidR="004A67CD" w:rsidRDefault="00A43371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Ministres, membres du Gouvernement participent régulièrement au GMP</w:t>
            </w:r>
            <w:r w:rsidRPr="00A4340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43371" w:rsidRPr="005933CB" w:rsidRDefault="00A43371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Parlement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utilise les Rapports ITIE pour la reddition des comptes et la confection du budget et  interpelle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le Gouvernement sur la suspension de l’ITIE et sur le retard dans la collecte des données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  <w:p w:rsidR="00877832" w:rsidRPr="00FE6330" w:rsidRDefault="00877832" w:rsidP="00877832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 Ministre des Mines prend un arrêté obligeant les industries minières à déclarer à l’ITIE.</w:t>
            </w:r>
          </w:p>
          <w:p w:rsidR="00A43371" w:rsidRPr="00A43401" w:rsidRDefault="00A43371" w:rsidP="00877832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7C3AFF" w:rsidRDefault="007C3AFF"/>
    <w:tbl>
      <w:tblPr>
        <w:tblStyle w:val="Grilledutableau"/>
        <w:tblW w:w="14388" w:type="dxa"/>
        <w:tblLook w:val="06A0"/>
      </w:tblPr>
      <w:tblGrid>
        <w:gridCol w:w="1951"/>
        <w:gridCol w:w="10490"/>
        <w:gridCol w:w="1947"/>
      </w:tblGrid>
      <w:tr w:rsidR="001A2835" w:rsidTr="005E573A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1A2835" w:rsidRPr="001100D6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 xml:space="preserve">Domaines </w:t>
            </w:r>
          </w:p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Indicateurs de l'impact</w:t>
            </w: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 w:val="restart"/>
            <w:noWrap/>
            <w:hideMark/>
          </w:tcPr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1A2835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Climat des Affaires</w:t>
            </w: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AC146B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A2835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Vulgarisation du Référentiel des flux financiers</w:t>
            </w:r>
          </w:p>
          <w:p w:rsidR="00AC146B" w:rsidRPr="00A43401" w:rsidRDefault="00AC146B" w:rsidP="00CF2DD7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Un cadre adopté par toutes les parties prenantes définit chaque flux financier légal et sa circulation dans le système gouvernemental</w:t>
            </w:r>
            <w:r w:rsidR="00CF2DD7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</w:tc>
        <w:tc>
          <w:tcPr>
            <w:tcW w:w="1947" w:type="dxa"/>
            <w:vMerge w:val="restart"/>
            <w:noWrap/>
            <w:hideMark/>
          </w:tcPr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AC146B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Croissance</w:t>
            </w: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noWrap/>
            <w:hideMark/>
          </w:tcPr>
          <w:p w:rsidR="00AC146B" w:rsidRPr="00A43401" w:rsidRDefault="00AC146B" w:rsidP="001A283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91519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AC146B" w:rsidP="0091519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915190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Accroissement du nombre des investisseurs</w:t>
            </w:r>
          </w:p>
          <w:p w:rsidR="00AC146B" w:rsidRPr="00A43401" w:rsidRDefault="00AC146B" w:rsidP="00CF2DD7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91519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périmètre des entreprises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en évolution </w:t>
            </w:r>
            <w:r w:rsidRPr="0091519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exponentielle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depuis l’année du premier Rapport ITIE en 2007.</w:t>
            </w:r>
          </w:p>
        </w:tc>
        <w:tc>
          <w:tcPr>
            <w:tcW w:w="1947" w:type="dxa"/>
            <w:vMerge/>
            <w:noWrap/>
            <w:hideMark/>
          </w:tcPr>
          <w:p w:rsidR="00AC146B" w:rsidRPr="00A43401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Pr="00AC146B" w:rsidRDefault="00AC146B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Intégration de l'ITIE dans le système du Ministère des Mines</w:t>
            </w:r>
            <w:r w:rsidR="008B38F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et le Ministère des Hydrocarbures</w:t>
            </w:r>
          </w:p>
          <w:p w:rsidR="00AC146B" w:rsidRPr="00A43401" w:rsidRDefault="00AC146B" w:rsidP="00CF2DD7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Les contrats des industries </w:t>
            </w:r>
            <w:r w:rsidR="008B38F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extractives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et le Cadastre Minier </w:t>
            </w:r>
            <w:r w:rsidR="008B38F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et pétrolier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sont référencés dans les Rapports ITIE-RDC.</w:t>
            </w: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931A29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P</w:t>
            </w:r>
            <w:r w:rsidR="00AC146B" w:rsidRP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ublication des Propriétaires réels</w:t>
            </w:r>
            <w:r w:rsid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des industries extractives</w:t>
            </w:r>
          </w:p>
          <w:p w:rsidR="00AC146B" w:rsidRPr="00A43401" w:rsidRDefault="00931A29" w:rsidP="00CF2DD7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Depuis bientôt trois Rapports ITIE-RDC, près de 80% d’entreprises extractives non cotées en bourse, ont vu leurs propriétaires réels publiés à la grande satisfaction de l’ITIE Internationale qui en </w:t>
            </w:r>
            <w:r w:rsidR="00933D2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a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décerné le prix ITIE à la RDC en févier 2016 à Lima au Pérou.</w:t>
            </w: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526AB9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526AB9" w:rsidRPr="00A43401" w:rsidRDefault="00526AB9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526AB9" w:rsidRDefault="00526AB9" w:rsidP="00526AB9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526AB9" w:rsidRDefault="00526AB9" w:rsidP="00526AB9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P</w:t>
            </w:r>
            <w:r w:rsidRP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ublication </w:t>
            </w: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de tous les Contrats du secteur extractif</w:t>
            </w:r>
          </w:p>
          <w:p w:rsidR="00526AB9" w:rsidRDefault="00526AB9" w:rsidP="00526AB9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526AB9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Décret du PM no 011/26 du 20 mai 2011 portant obligation de publier tout contrat ayant pour objet les ressources naturelles.</w:t>
            </w:r>
          </w:p>
        </w:tc>
        <w:tc>
          <w:tcPr>
            <w:tcW w:w="1947" w:type="dxa"/>
            <w:vMerge/>
            <w:hideMark/>
          </w:tcPr>
          <w:p w:rsidR="00526AB9" w:rsidRPr="00A43401" w:rsidRDefault="00526AB9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931A29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L</w:t>
            </w:r>
            <w:r w:rsidRPr="00931A29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es Agences internationales de notation </w:t>
            </w: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se réfèrent à</w:t>
            </w:r>
            <w:r w:rsidR="00AC146B" w:rsidRPr="00931A29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l'ITIE </w:t>
            </w:r>
          </w:p>
          <w:p w:rsidR="00931A29" w:rsidRPr="00A43401" w:rsidRDefault="00931A29" w:rsidP="00CF2DD7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 Premier Ministre l’affirment dans une correspondance officielle</w:t>
            </w:r>
            <w:r w:rsidR="00CF2DD7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A2835" w:rsidRDefault="001A2835"/>
    <w:sectPr w:rsidR="001A2835" w:rsidSect="00133879">
      <w:headerReference w:type="default" r:id="rId11"/>
      <w:footerReference w:type="first" r:id="rId12"/>
      <w:pgSz w:w="16838" w:h="11906" w:orient="landscape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56" w:rsidRDefault="00E30056" w:rsidP="00353855">
      <w:pPr>
        <w:spacing w:after="0" w:line="240" w:lineRule="auto"/>
      </w:pPr>
      <w:r>
        <w:separator/>
      </w:r>
    </w:p>
  </w:endnote>
  <w:endnote w:type="continuationSeparator" w:id="1">
    <w:p w:rsidR="00E30056" w:rsidRDefault="00E30056" w:rsidP="0035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138342"/>
      <w:docPartObj>
        <w:docPartGallery w:val="Page Numbers (Bottom of Page)"/>
        <w:docPartUnique/>
      </w:docPartObj>
    </w:sdtPr>
    <w:sdtContent>
      <w:p w:rsidR="00133879" w:rsidRDefault="00BB376C">
        <w:pPr>
          <w:pStyle w:val="Pieddepage"/>
          <w:jc w:val="right"/>
        </w:pPr>
        <w:fldSimple w:instr=" PAGE   \* MERGEFORMAT ">
          <w:r w:rsidR="00636F11">
            <w:rPr>
              <w:noProof/>
            </w:rPr>
            <w:t>- 1 -</w:t>
          </w:r>
        </w:fldSimple>
      </w:p>
    </w:sdtContent>
  </w:sdt>
  <w:p w:rsidR="00133879" w:rsidRDefault="001338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56" w:rsidRDefault="00E30056" w:rsidP="00353855">
      <w:pPr>
        <w:spacing w:after="0" w:line="240" w:lineRule="auto"/>
      </w:pPr>
      <w:r>
        <w:separator/>
      </w:r>
    </w:p>
  </w:footnote>
  <w:footnote w:type="continuationSeparator" w:id="1">
    <w:p w:rsidR="00E30056" w:rsidRDefault="00E30056" w:rsidP="0035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FF" w:rsidRDefault="007C3AFF">
    <w:pPr>
      <w:pStyle w:val="En-tte"/>
      <w:rPr>
        <w:rFonts w:ascii="Arial Black" w:hAnsi="Arial Black"/>
        <w:b/>
        <w:sz w:val="24"/>
      </w:rPr>
    </w:pPr>
    <w:r>
      <w:rPr>
        <w:noProof/>
        <w:lang w:eastAsia="fr-FR"/>
      </w:rPr>
      <w:drawing>
        <wp:inline distT="0" distB="0" distL="0" distR="0">
          <wp:extent cx="957155" cy="454191"/>
          <wp:effectExtent l="19050" t="0" r="0" b="0"/>
          <wp:docPr id="1" name="Image 0" descr="Courrier Electrionique G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rier Electrionique G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222" cy="45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</w:t>
    </w:r>
    <w:r w:rsidRPr="005E573A">
      <w:rPr>
        <w:rStyle w:val="CitationintenseCar"/>
        <w:rFonts w:ascii="Arial Black" w:hAnsi="Arial Black"/>
        <w:i w:val="0"/>
        <w:color w:val="0070C0"/>
        <w:sz w:val="28"/>
      </w:rPr>
      <w:t>EVALUATION DE L’IMPACT DE L’ITIE EN RDC</w:t>
    </w:r>
    <w:r w:rsidR="005E573A">
      <w:rPr>
        <w:b/>
        <w:sz w:val="28"/>
      </w:rPr>
      <w:t xml:space="preserve">              </w:t>
    </w:r>
    <w:r w:rsidRPr="005E573A">
      <w:rPr>
        <w:rFonts w:ascii="Arial Black" w:hAnsi="Arial Black"/>
        <w:b/>
        <w:sz w:val="20"/>
      </w:rPr>
      <w:t>Secrétariat Technique</w:t>
    </w:r>
  </w:p>
  <w:p w:rsidR="007C3AFF" w:rsidRPr="007C3AFF" w:rsidRDefault="007C3AFF">
    <w:pPr>
      <w:pStyle w:val="En-tte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7BFA"/>
    <w:multiLevelType w:val="hybridMultilevel"/>
    <w:tmpl w:val="10AC14CA"/>
    <w:lvl w:ilvl="0" w:tplc="040C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805A4D"/>
    <w:rsid w:val="000734E4"/>
    <w:rsid w:val="00133879"/>
    <w:rsid w:val="001A2835"/>
    <w:rsid w:val="001D7E26"/>
    <w:rsid w:val="00210DDF"/>
    <w:rsid w:val="003106FC"/>
    <w:rsid w:val="00353855"/>
    <w:rsid w:val="00387C72"/>
    <w:rsid w:val="00411C75"/>
    <w:rsid w:val="004610AD"/>
    <w:rsid w:val="00472039"/>
    <w:rsid w:val="004A23CA"/>
    <w:rsid w:val="004A67CD"/>
    <w:rsid w:val="004D1E88"/>
    <w:rsid w:val="00526AB9"/>
    <w:rsid w:val="005933CB"/>
    <w:rsid w:val="005E573A"/>
    <w:rsid w:val="00636F11"/>
    <w:rsid w:val="00714904"/>
    <w:rsid w:val="007C3AFF"/>
    <w:rsid w:val="00805A4D"/>
    <w:rsid w:val="008113F9"/>
    <w:rsid w:val="00833A84"/>
    <w:rsid w:val="0084722F"/>
    <w:rsid w:val="00877832"/>
    <w:rsid w:val="008B38FB"/>
    <w:rsid w:val="008E4944"/>
    <w:rsid w:val="00915190"/>
    <w:rsid w:val="00931A29"/>
    <w:rsid w:val="00933D21"/>
    <w:rsid w:val="009A49C8"/>
    <w:rsid w:val="009B62D1"/>
    <w:rsid w:val="00A15C07"/>
    <w:rsid w:val="00A17E73"/>
    <w:rsid w:val="00A40A34"/>
    <w:rsid w:val="00A43371"/>
    <w:rsid w:val="00A43A6C"/>
    <w:rsid w:val="00A55D6F"/>
    <w:rsid w:val="00AC146B"/>
    <w:rsid w:val="00BB376C"/>
    <w:rsid w:val="00C2175D"/>
    <w:rsid w:val="00C242B3"/>
    <w:rsid w:val="00CC54B9"/>
    <w:rsid w:val="00CD4453"/>
    <w:rsid w:val="00CE57DD"/>
    <w:rsid w:val="00CF2DD7"/>
    <w:rsid w:val="00D27A2B"/>
    <w:rsid w:val="00DE6496"/>
    <w:rsid w:val="00DF7E49"/>
    <w:rsid w:val="00E30056"/>
    <w:rsid w:val="00EC4082"/>
    <w:rsid w:val="00EC57E0"/>
    <w:rsid w:val="00ED59C8"/>
    <w:rsid w:val="00F47054"/>
    <w:rsid w:val="00F55343"/>
    <w:rsid w:val="00F90F7D"/>
    <w:rsid w:val="00FB2881"/>
    <w:rsid w:val="00FE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5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855"/>
  </w:style>
  <w:style w:type="paragraph" w:styleId="Pieddepage">
    <w:name w:val="footer"/>
    <w:basedOn w:val="Normal"/>
    <w:link w:val="PieddepageCar"/>
    <w:uiPriority w:val="99"/>
    <w:unhideWhenUsed/>
    <w:rsid w:val="0035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855"/>
  </w:style>
  <w:style w:type="paragraph" w:styleId="Textedebulles">
    <w:name w:val="Balloon Text"/>
    <w:basedOn w:val="Normal"/>
    <w:link w:val="TextedebullesCar"/>
    <w:uiPriority w:val="99"/>
    <w:semiHidden/>
    <w:unhideWhenUsed/>
    <w:rsid w:val="003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8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23C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7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73A"/>
    <w:rPr>
      <w:b/>
      <w:bCs/>
      <w:i/>
      <w:i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EC57E0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57E0"/>
    <w:rPr>
      <w:rFonts w:eastAsiaTheme="minorEastAsia"/>
    </w:rPr>
  </w:style>
  <w:style w:type="character" w:customStyle="1" w:styleId="onecomwebmail-size">
    <w:name w:val="onecomwebmail-size"/>
    <w:basedOn w:val="Policepardfaut"/>
    <w:rsid w:val="00636F11"/>
  </w:style>
  <w:style w:type="character" w:customStyle="1" w:styleId="apple-converted-space">
    <w:name w:val="apple-converted-space"/>
    <w:basedOn w:val="Policepardfaut"/>
    <w:rsid w:val="00636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5BC7D7E29B449D848DB1D352D06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7C2E5-FBB1-4FA5-957C-FF95F5ED5991}"/>
      </w:docPartPr>
      <w:docPartBody>
        <w:p w:rsidR="005A514A" w:rsidRDefault="00745C89" w:rsidP="00745C89">
          <w:pPr>
            <w:pStyle w:val="C25BC7D7E29B449D848DB1D352D06D65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5C89"/>
    <w:rsid w:val="002376A9"/>
    <w:rsid w:val="003F706D"/>
    <w:rsid w:val="005A514A"/>
    <w:rsid w:val="0074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07AF96DA162440CADFB0DCF36E61C1E">
    <w:name w:val="707AF96DA162440CADFB0DCF36E61C1E"/>
    <w:rsid w:val="00745C89"/>
  </w:style>
  <w:style w:type="paragraph" w:customStyle="1" w:styleId="C25BC7D7E29B449D848DB1D352D06D65">
    <w:name w:val="C25BC7D7E29B449D848DB1D352D06D65"/>
    <w:rsid w:val="00745C89"/>
  </w:style>
  <w:style w:type="paragraph" w:customStyle="1" w:styleId="58DB97EAD9874FECA7956DCFC80FC6B9">
    <w:name w:val="58DB97EAD9874FECA7956DCFC80FC6B9"/>
    <w:rsid w:val="00745C89"/>
  </w:style>
  <w:style w:type="paragraph" w:customStyle="1" w:styleId="44259CCD06744D66BE91461249FA0C38">
    <w:name w:val="44259CCD06744D66BE91461249FA0C38"/>
    <w:rsid w:val="00745C89"/>
  </w:style>
  <w:style w:type="paragraph" w:customStyle="1" w:styleId="36B0ECD8054B4A57BE5D1F4F7975CA92">
    <w:name w:val="36B0ECD8054B4A57BE5D1F4F7975CA92"/>
    <w:rsid w:val="00745C89"/>
  </w:style>
  <w:style w:type="paragraph" w:customStyle="1" w:styleId="B70623E7B79640DA8C391E6E066CF3D1">
    <w:name w:val="B70623E7B79640DA8C391E6E066CF3D1"/>
    <w:rsid w:val="00745C89"/>
  </w:style>
  <w:style w:type="paragraph" w:customStyle="1" w:styleId="1BEFD1587C7F4BCDB4EB0863A42166ED">
    <w:name w:val="1BEFD1587C7F4BCDB4EB0863A42166ED"/>
    <w:rsid w:val="00745C89"/>
  </w:style>
  <w:style w:type="paragraph" w:customStyle="1" w:styleId="6BD6DCB69A044B0B878F1C57E00F65F6">
    <w:name w:val="6BD6DCB69A044B0B878F1C57E00F65F6"/>
    <w:rsid w:val="00745C89"/>
  </w:style>
  <w:style w:type="paragraph" w:customStyle="1" w:styleId="8555A0CEBC524856AD1522AA2F93DDDC">
    <w:name w:val="8555A0CEBC524856AD1522AA2F93DDDC"/>
    <w:rsid w:val="00745C89"/>
  </w:style>
  <w:style w:type="paragraph" w:customStyle="1" w:styleId="C09CCD1F0DF247BDB6B21696A30C76A9">
    <w:name w:val="C09CCD1F0DF247BDB6B21696A30C76A9"/>
    <w:rsid w:val="00745C89"/>
  </w:style>
  <w:style w:type="paragraph" w:customStyle="1" w:styleId="1EC4E89F5921432AB073941257FDE7E6">
    <w:name w:val="1EC4E89F5921432AB073941257FDE7E6"/>
    <w:rsid w:val="00745C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2016-05-26T00:00:00</PublishDate>
  <Abstract>Les effets de l’impact de la mise en œuvre  de l’ITIE en RDC  ont été collationnés par les Experts du Secrétariat Technique de l’ITIE-RDC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068A0-8B51-4B63-A644-9D35F968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de l’impact de l’ITIE</vt:lpstr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 l’impact de l’ITIE</dc:title>
  <dc:subject>En République Démocratique du Congo</dc:subject>
  <dc:creator>PROF MACK</dc:creator>
  <cp:lastModifiedBy>Dell-PC</cp:lastModifiedBy>
  <cp:revision>2</cp:revision>
  <cp:lastPrinted>2016-05-26T11:17:00Z</cp:lastPrinted>
  <dcterms:created xsi:type="dcterms:W3CDTF">2016-05-31T06:01:00Z</dcterms:created>
  <dcterms:modified xsi:type="dcterms:W3CDTF">2016-05-31T06:01:00Z</dcterms:modified>
</cp:coreProperties>
</file>